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12BB7" w14:textId="34B8BDEE" w:rsidR="002D3320" w:rsidRDefault="002D3320" w:rsidP="002D3320">
      <w:pPr>
        <w:jc w:val="center"/>
        <w:rPr>
          <w:rFonts w:cstheme="minorHAnsi"/>
          <w:b/>
          <w:bCs/>
          <w:sz w:val="28"/>
          <w:szCs w:val="28"/>
        </w:rPr>
      </w:pPr>
      <w:r w:rsidRPr="002D3320">
        <w:rPr>
          <w:rFonts w:cstheme="minorHAnsi"/>
          <w:b/>
          <w:bCs/>
          <w:sz w:val="28"/>
          <w:szCs w:val="28"/>
        </w:rPr>
        <w:t>Résilience des Crypto-monnaies Sales vs Propres pendant la Crise Sanitaire : Approche TVP-VAR</w:t>
      </w:r>
    </w:p>
    <w:p w14:paraId="2E5B133A" w14:textId="69E5FF25" w:rsidR="002D3320" w:rsidRDefault="002D3320" w:rsidP="002D3320">
      <w:pPr>
        <w:jc w:val="center"/>
        <w:rPr>
          <w:rFonts w:cstheme="minorHAnsi"/>
          <w:b/>
          <w:bCs/>
          <w:sz w:val="28"/>
          <w:szCs w:val="28"/>
        </w:rPr>
      </w:pPr>
    </w:p>
    <w:p w14:paraId="1629BCDD" w14:textId="3AEFAA42" w:rsidR="002D3320" w:rsidRDefault="002D3320" w:rsidP="00584544">
      <w:pPr>
        <w:spacing w:after="160"/>
        <w:jc w:val="center"/>
        <w:rPr>
          <w:rFonts w:asciiTheme="majorBidi" w:hAnsiTheme="majorBidi" w:cstheme="majorBidi"/>
          <w:b/>
          <w:bCs/>
          <w:sz w:val="24"/>
          <w:szCs w:val="24"/>
        </w:rPr>
      </w:pPr>
      <w:r>
        <w:rPr>
          <w:rFonts w:asciiTheme="majorBidi" w:hAnsiTheme="majorBidi" w:cstheme="majorBidi"/>
          <w:b/>
          <w:bCs/>
          <w:sz w:val="24"/>
          <w:szCs w:val="24"/>
        </w:rPr>
        <w:t>Jarboui Abir</w:t>
      </w:r>
      <w:r>
        <w:rPr>
          <w:rFonts w:asciiTheme="majorBidi" w:hAnsiTheme="majorBidi" w:cstheme="majorBidi"/>
          <w:b/>
          <w:bCs/>
          <w:sz w:val="24"/>
          <w:szCs w:val="24"/>
        </w:rPr>
        <w:t>, Jarbouii Anis.</w:t>
      </w:r>
    </w:p>
    <w:p w14:paraId="5A3F36A3" w14:textId="10956A06" w:rsidR="002D3320" w:rsidRDefault="002D3320" w:rsidP="00584544">
      <w:pPr>
        <w:spacing w:after="160"/>
        <w:jc w:val="center"/>
        <w:rPr>
          <w:rFonts w:asciiTheme="majorBidi" w:hAnsiTheme="majorBidi" w:cstheme="majorBidi"/>
          <w:b/>
          <w:bCs/>
          <w:sz w:val="24"/>
          <w:szCs w:val="24"/>
        </w:rPr>
      </w:pPr>
      <w:r w:rsidRPr="00D35590">
        <w:rPr>
          <w:rFonts w:asciiTheme="majorBidi" w:hAnsiTheme="majorBidi" w:cstheme="majorBidi"/>
          <w:b/>
          <w:bCs/>
          <w:sz w:val="24"/>
          <w:szCs w:val="24"/>
        </w:rPr>
        <w:t>Faculté des sciences économiques et de gestion de Sfax</w:t>
      </w:r>
    </w:p>
    <w:p w14:paraId="461FE893" w14:textId="761B1517" w:rsidR="002D3320" w:rsidRPr="00D35590" w:rsidRDefault="002D3320" w:rsidP="00584544">
      <w:pPr>
        <w:spacing w:after="160"/>
        <w:jc w:val="center"/>
        <w:rPr>
          <w:rFonts w:asciiTheme="majorBidi" w:hAnsiTheme="majorBidi" w:cstheme="majorBidi"/>
          <w:b/>
          <w:bCs/>
          <w:sz w:val="24"/>
          <w:szCs w:val="24"/>
        </w:rPr>
      </w:pPr>
      <w:r w:rsidRPr="00D35590">
        <w:rPr>
          <w:rFonts w:asciiTheme="majorBidi" w:hAnsiTheme="majorBidi" w:cstheme="majorBidi"/>
          <w:b/>
          <w:bCs/>
          <w:sz w:val="24"/>
          <w:szCs w:val="24"/>
        </w:rPr>
        <w:t>Université de Sfax, Tunisie, Laboratoire de recherche Lartige</w:t>
      </w:r>
      <w:r>
        <w:rPr>
          <w:rFonts w:asciiTheme="majorBidi" w:hAnsiTheme="majorBidi" w:cstheme="majorBidi"/>
          <w:b/>
          <w:bCs/>
          <w:sz w:val="24"/>
          <w:szCs w:val="24"/>
        </w:rPr>
        <w:t>.</w:t>
      </w:r>
    </w:p>
    <w:p w14:paraId="512A35AE" w14:textId="2AA48E0F" w:rsidR="002D3320" w:rsidRPr="00D35590" w:rsidRDefault="002D3320" w:rsidP="00584544">
      <w:pPr>
        <w:spacing w:after="160"/>
        <w:jc w:val="center"/>
        <w:rPr>
          <w:rFonts w:asciiTheme="majorBidi" w:hAnsiTheme="majorBidi" w:cstheme="majorBidi"/>
          <w:b/>
          <w:bCs/>
          <w:sz w:val="24"/>
          <w:szCs w:val="24"/>
        </w:rPr>
      </w:pPr>
      <w:r>
        <w:rPr>
          <w:rFonts w:asciiTheme="majorBidi" w:hAnsiTheme="majorBidi" w:cstheme="majorBidi"/>
          <w:b/>
          <w:bCs/>
          <w:sz w:val="24"/>
          <w:szCs w:val="24"/>
        </w:rPr>
        <w:t>Jarbouiabir95@gmail.com</w:t>
      </w:r>
    </w:p>
    <w:p w14:paraId="377A16E4" w14:textId="77777777" w:rsidR="002D3320" w:rsidRPr="002D3320" w:rsidRDefault="002D3320" w:rsidP="002D3320">
      <w:pPr>
        <w:jc w:val="center"/>
        <w:rPr>
          <w:rFonts w:cstheme="minorHAnsi"/>
          <w:b/>
          <w:bCs/>
          <w:sz w:val="28"/>
          <w:szCs w:val="28"/>
        </w:rPr>
      </w:pPr>
    </w:p>
    <w:p w14:paraId="09570911" w14:textId="77777777" w:rsidR="002D3320" w:rsidRPr="008E49B4" w:rsidRDefault="002D3320" w:rsidP="002D3320">
      <w:pPr>
        <w:rPr>
          <w:rFonts w:asciiTheme="majorBidi" w:hAnsiTheme="majorBidi" w:cstheme="majorBidi"/>
          <w:sz w:val="24"/>
          <w:szCs w:val="24"/>
        </w:rPr>
      </w:pPr>
    </w:p>
    <w:p w14:paraId="6B0385D9" w14:textId="77777777" w:rsidR="002D3320" w:rsidRPr="008E49B4" w:rsidRDefault="002D3320" w:rsidP="002D3320">
      <w:pPr>
        <w:rPr>
          <w:rFonts w:asciiTheme="majorBidi" w:hAnsiTheme="majorBidi" w:cstheme="majorBidi"/>
          <w:b/>
          <w:bCs/>
          <w:sz w:val="24"/>
          <w:szCs w:val="24"/>
        </w:rPr>
      </w:pPr>
      <w:r w:rsidRPr="008E49B4">
        <w:rPr>
          <w:rFonts w:asciiTheme="majorBidi" w:hAnsiTheme="majorBidi" w:cstheme="majorBidi"/>
          <w:b/>
          <w:bCs/>
          <w:sz w:val="24"/>
          <w:szCs w:val="24"/>
        </w:rPr>
        <w:t xml:space="preserve">Résumé : </w:t>
      </w:r>
    </w:p>
    <w:p w14:paraId="0132CA46" w14:textId="77777777" w:rsidR="002D3320" w:rsidRPr="002D3320" w:rsidRDefault="002D3320" w:rsidP="002D3320">
      <w:pPr>
        <w:rPr>
          <w:rFonts w:cstheme="minorHAnsi"/>
          <w:sz w:val="24"/>
          <w:szCs w:val="24"/>
        </w:rPr>
      </w:pPr>
      <w:r w:rsidRPr="002D3320">
        <w:rPr>
          <w:rFonts w:cstheme="minorHAnsi"/>
          <w:sz w:val="24"/>
          <w:szCs w:val="24"/>
        </w:rPr>
        <w:t>Cette étude examine la résilience des crypto-monnaies « sales » par rapport aux crypto-monnaies « propres » pendant la crise COVID-19 en analysant leur connectivité de volatilité et leur réponse au stress du marché, avec un accent particulier sur l'indice de stress financier (FSI) en tant qu'indicateur clé. À l'aide d'un modèle vectoriel autorégressif à paramètres variables dans le temps (TVP-VAR), nous évaluons les rendements quotidiens de Bitcoin (BTC), Ethereum (ETH) et Litecoin (LTC) (classés comme cryptocurrencies « sales ») et Ripple (XRP), Cardano (ADA) et Stellar (XLM) (classés comme cryptocurrencies « propres ») de janvier 2018 à janvier 2024. Les résultats montrent que pendant la pandémie de COVID-19, l'ISF agit comme un absorbeur de volatilité, servant de récepteur de chocs sur le marché, tandis que l'Ethereum diffuse notamment le risque en tant qu'émetteur net. En revanche, certaines crypto-monnaies comme le Ripple et le Stellar fonctionnent comme des absorbeurs nets, soulignant des modèles de comportement distincts entre les actifs « sales » et « propres » en temps de crise. Bien que l'analyse se concentre sur les principales crypto-monnaies et s'appuie sur l'FSI pour évaluer le stress du marché, elle révèle néanmoins des informations cruciales sur la dynamique de la volatilité et les effets de contagion au sein du marché des crypto-monnaies. Cette recherche contribue à comprendre comment les différents types de crypto-monnaies interagissent dans des conditions extrêmes, offrant une perspective comparative sur les actifs numériques « propres » et « sales » sur le plan environnemental.</w:t>
      </w:r>
    </w:p>
    <w:p w14:paraId="14869D66" w14:textId="1850C7A6" w:rsidR="002D3320" w:rsidRPr="002D3320" w:rsidRDefault="002D3320" w:rsidP="002D3320">
      <w:pPr>
        <w:rPr>
          <w:rFonts w:cstheme="minorHAnsi"/>
          <w:sz w:val="24"/>
          <w:szCs w:val="24"/>
        </w:rPr>
      </w:pPr>
      <w:r w:rsidRPr="008E49B4">
        <w:rPr>
          <w:rFonts w:asciiTheme="majorBidi" w:hAnsiTheme="majorBidi" w:cstheme="majorBidi"/>
          <w:b/>
          <w:bCs/>
          <w:sz w:val="24"/>
          <w:szCs w:val="24"/>
        </w:rPr>
        <w:lastRenderedPageBreak/>
        <w:t>Mots</w:t>
      </w:r>
      <w:r w:rsidRPr="008E49B4">
        <w:rPr>
          <w:rFonts w:asciiTheme="majorBidi" w:hAnsiTheme="majorBidi" w:cstheme="majorBidi"/>
          <w:b/>
          <w:bCs/>
          <w:sz w:val="24"/>
          <w:szCs w:val="24"/>
        </w:rPr>
        <w:t>-clés :</w:t>
      </w:r>
      <w:r w:rsidRPr="008E49B4">
        <w:rPr>
          <w:rFonts w:asciiTheme="majorBidi" w:hAnsiTheme="majorBidi" w:cstheme="majorBidi"/>
          <w:sz w:val="24"/>
          <w:szCs w:val="24"/>
        </w:rPr>
        <w:t xml:space="preserve"> </w:t>
      </w:r>
      <w:r w:rsidRPr="002D3320">
        <w:rPr>
          <w:rFonts w:cstheme="minorHAnsi"/>
          <w:sz w:val="24"/>
          <w:szCs w:val="24"/>
        </w:rPr>
        <w:t>Cryptocurrencies sales et propres, COVID-19 , TVP-VAR, effets de contagion, indice de stress financier (ISF)</w:t>
      </w:r>
    </w:p>
    <w:p w14:paraId="3504EAE9" w14:textId="2FA5F545" w:rsidR="002D3320" w:rsidRPr="0063384A" w:rsidRDefault="004B56C0" w:rsidP="002D3320">
      <w:pPr>
        <w:rPr>
          <w:rFonts w:asciiTheme="majorBidi" w:hAnsiTheme="majorBidi" w:cstheme="majorBidi"/>
          <w:b/>
          <w:bCs/>
          <w:sz w:val="24"/>
          <w:szCs w:val="24"/>
        </w:rPr>
      </w:pPr>
      <w:r w:rsidRPr="0063384A">
        <w:rPr>
          <w:rFonts w:asciiTheme="majorBidi" w:hAnsiTheme="majorBidi" w:cstheme="majorBidi"/>
          <w:b/>
          <w:bCs/>
          <w:sz w:val="24"/>
          <w:szCs w:val="24"/>
        </w:rPr>
        <w:t>Abstract :</w:t>
      </w:r>
    </w:p>
    <w:p w14:paraId="18B4C224" w14:textId="77777777" w:rsidR="002D3320" w:rsidRPr="002D3320" w:rsidRDefault="002D3320" w:rsidP="002D3320">
      <w:pPr>
        <w:rPr>
          <w:rFonts w:cstheme="minorHAnsi"/>
          <w:lang w:val="en-US"/>
        </w:rPr>
      </w:pPr>
      <w:r w:rsidRPr="002D3320">
        <w:rPr>
          <w:rFonts w:cstheme="minorHAnsi"/>
          <w:lang w:val="en-US"/>
        </w:rPr>
        <w:t>This study investigates the resilience of 'dirty' versus 'clean' cryptocurrencies during the COVID-19 crisis by analyzing their volatility connectivity and response to market stress, with a particular focus on the Financial Stress Index (FSI) as a key indicator. Using a time-varying parameter vector autoregressive (TVP-VAR) model, we assess the daily returns of Bitcoin (BTC), Ethereum (ETH), and Litecoin (LTC) (classified as 'dirty' cryptocurrencies) and Ripple (XRP), Cardano (ADA), and Stellar (XLM) (classified as 'clean' cryptocurrencies) from January 2018 to January 2024. The results show that during the COVID-19 pandemic, FSI acts as a volatility absorber, serving as a shock receiver in the market, while Ethereum notably diffuses risk as a net emitter. In contrast, certain cryptocurrencies like Ripple and Stellar function as net absorbers, underscoring distinct behavioral patterns between 'dirty' and 'clean' assets in times of crisis. Although the analysis focuses on prominent cryptocurrencies and relies on FSI to gauge market stress, it nonetheless reveals crucial insights into the volatility dynamics and contagion effects within the cryptocurrency market. This research contributes to understanding how various types of cryptocurrencies interact under extreme conditions, offering a comparative perspective on environmentally 'clean' and 'dirty' digital assets.</w:t>
      </w:r>
    </w:p>
    <w:p w14:paraId="69889C38" w14:textId="77777777" w:rsidR="002D3320" w:rsidRPr="002D3320" w:rsidRDefault="002D3320" w:rsidP="002D3320">
      <w:pPr>
        <w:rPr>
          <w:rFonts w:cstheme="minorHAnsi"/>
          <w:lang w:val="en-US"/>
        </w:rPr>
      </w:pPr>
      <w:r w:rsidRPr="002D3320">
        <w:rPr>
          <w:rFonts w:asciiTheme="majorBidi" w:hAnsiTheme="majorBidi" w:cstheme="majorBidi"/>
          <w:b/>
          <w:bCs/>
          <w:lang w:val="en-US"/>
        </w:rPr>
        <w:t>keywords:</w:t>
      </w:r>
      <w:r w:rsidRPr="002D3320">
        <w:rPr>
          <w:rFonts w:asciiTheme="majorBidi" w:hAnsiTheme="majorBidi" w:cstheme="majorBidi"/>
          <w:lang w:val="en-US"/>
        </w:rPr>
        <w:t xml:space="preserve"> </w:t>
      </w:r>
      <w:r w:rsidRPr="002D3320">
        <w:rPr>
          <w:rFonts w:cstheme="minorHAnsi"/>
          <w:lang w:val="en-US"/>
        </w:rPr>
        <w:t>Dirty and Clean cryptocurrencies, COVID-19 , TVP-VAR, Contagion effects, Financial Stress Index (FSI)</w:t>
      </w:r>
    </w:p>
    <w:p w14:paraId="0F8ED488" w14:textId="77777777" w:rsidR="002D3320" w:rsidRPr="002D3320" w:rsidRDefault="002D3320" w:rsidP="002D3320">
      <w:pPr>
        <w:rPr>
          <w:rFonts w:asciiTheme="majorBidi" w:hAnsiTheme="majorBidi" w:cstheme="majorBidi"/>
          <w:sz w:val="24"/>
          <w:szCs w:val="24"/>
          <w:lang w:val="en-US"/>
        </w:rPr>
      </w:pPr>
    </w:p>
    <w:p w14:paraId="0B510DDA" w14:textId="77777777" w:rsidR="002D3320" w:rsidRPr="008E49B4" w:rsidRDefault="002D3320" w:rsidP="002D3320">
      <w:pPr>
        <w:pStyle w:val="Paragraphedeliste"/>
        <w:numPr>
          <w:ilvl w:val="0"/>
          <w:numId w:val="28"/>
        </w:numPr>
        <w:spacing w:after="160"/>
        <w:rPr>
          <w:rFonts w:asciiTheme="majorBidi" w:hAnsiTheme="majorBidi" w:cstheme="majorBidi"/>
          <w:b/>
          <w:bCs/>
          <w:sz w:val="24"/>
          <w:szCs w:val="24"/>
        </w:rPr>
      </w:pPr>
      <w:r w:rsidRPr="008E49B4">
        <w:rPr>
          <w:rFonts w:asciiTheme="majorBidi" w:hAnsiTheme="majorBidi" w:cstheme="majorBidi"/>
          <w:b/>
          <w:bCs/>
          <w:sz w:val="24"/>
          <w:szCs w:val="24"/>
        </w:rPr>
        <w:t>Introduction</w:t>
      </w:r>
    </w:p>
    <w:p w14:paraId="3F8D213A"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Les perturbations des marchés financiers traditionnels et des marchés de cryptomonnaies dues à la pandémie de COVID-19, combinées à une volatilité accrue des marchés et à une intensification de la surveillance réglementaire, ont souligné la nécessité de comprendre la résilience des actifs numériques, en particulier dans des contextes de crise. Les fondements théoriques dans l'étude de la contagion financière et de la transmission du risque (Bekaert et al., 2014 ; Forbes &amp; Rigobon, 2002) soutiennent l'idée que les crises mondiales tendent à amplifier la volatilité à travers les actifs interconnectés, y compris les cryptomonnaies. Cependant, une revue des études antérieures met en lumière une focalisation sur la volatilité et les effets de débordement des cryptomonnaies, souvent sans distinction entre les actifs « propres » et « sales » d’un point de vue environnemental et leurs impacts différenciés sur la stabilité des marchés et le risque de portefeuille (Goodell &amp; Goutte, 2021 ; Corbet et al., 2018). De plus, il existe un manque de recherches sur l'intégration potentielle d'actifs numériques durables dans les portefeuilles, surtout en période de crise mondiale comme la pandémie de COVID-19. La littérature existante se concentre principalement sur la transmission du risque entre les cryptomonnaies, sans explorer suffisamment comment les classifications environnementales peuvent influencer la résilience ou la transmission du risque (cf. sources sur la finance durable et la classification des cryptomonnaies, ex. Broadstock et al., 2020 ; Lahmiri &amp; Bekiros, 2020).</w:t>
      </w:r>
    </w:p>
    <w:p w14:paraId="244072AB"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Face aux lacunes observées dans la recherche, l'objectif de cette étude est d'examiner l'interconnexion entre les cryptomonnaies « sales » comme le Bitcoin (BTC), l'Ethereum (ETH) et le Litecoin (LTC) d'une part, et les cryptomonnaies « propres » telles que Ripple (XRP), Cardano (ADA) et Stellar (XLM) d'autre part. Plus précisément, l’étude vise à mettre en évidence les implications pour la stabilité des marchés de cryptomonnaies et la résilience des portefeuilles pendant la pandémie de COVID-19 en analysant la connectivité de la volatilité entre ces actifs. Nous appliquons une approche de Vecteur Autorégressif à Paramètres Variables dans le Temps (TVP-VAR) pour capturer les liens entre ces cryptomonnaies « sales » et « propres » tout en prenant en compte les dynamiques introduites par la crise de la COVID-19, en utilisant l'Indice de Stress Financier (ISF) pour représenter le stress systémique du marché.</w:t>
      </w:r>
    </w:p>
    <w:p w14:paraId="577BDBF1"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La méthodologie TVP-VAR se distingue comme une approche de modélisation robuste pour les systèmes dynamiques, en particulier pour capturer les changements en temps réel dans les marchés interconnectés (Primiceri, 2005 ; Koop &amp; Korobilis, 2010). La flexibilité du TVP-VAR, qui saisit les dynamiques non linéaires évolutives grâce à des coefficients variables dans le temps, offre une représentation plus réaliste des interactions et relations complexes, surpassant les limites des modèles linéaires. Sa capacité à modéliser la volatilité variable dans le temps et à s’adapter aux données haute fréquence le rend particulièrement adapté pour capturer la nature fluctuante des marchés de cryptomonnaies en période de crise.</w:t>
      </w:r>
    </w:p>
    <w:p w14:paraId="45B193E0"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Notre article apporte une contribution significative à la compréhension de la résilience des différents types de cryptomonnaies et enrichit les connaissances sur la gestion des actifs numériques durables en examinant les implications de la classification environnementale sur la stabilité des marchés, avec un accent particulier sur les stratégies de gestion de portefeuille pendant la pandémie de COVID-19.</w:t>
      </w:r>
    </w:p>
    <w:p w14:paraId="4882E4B9" w14:textId="77777777" w:rsidR="002D3320" w:rsidRPr="008E49B4" w:rsidRDefault="002D3320" w:rsidP="002D3320">
      <w:pPr>
        <w:rPr>
          <w:rFonts w:asciiTheme="majorBidi" w:hAnsiTheme="majorBidi" w:cstheme="majorBidi"/>
          <w:b/>
          <w:bCs/>
          <w:sz w:val="24"/>
          <w:szCs w:val="24"/>
        </w:rPr>
      </w:pPr>
    </w:p>
    <w:p w14:paraId="608D59B5" w14:textId="77777777" w:rsidR="002D3320" w:rsidRPr="008E49B4" w:rsidRDefault="002D3320" w:rsidP="002D3320">
      <w:pPr>
        <w:pStyle w:val="Paragraphedeliste"/>
        <w:numPr>
          <w:ilvl w:val="0"/>
          <w:numId w:val="28"/>
        </w:numPr>
        <w:spacing w:after="160"/>
        <w:rPr>
          <w:rFonts w:asciiTheme="majorBidi" w:hAnsiTheme="majorBidi" w:cstheme="majorBidi"/>
          <w:b/>
          <w:bCs/>
          <w:sz w:val="24"/>
          <w:szCs w:val="24"/>
        </w:rPr>
      </w:pPr>
      <w:r w:rsidRPr="008E49B4">
        <w:rPr>
          <w:rFonts w:asciiTheme="majorBidi" w:hAnsiTheme="majorBidi" w:cstheme="majorBidi"/>
          <w:b/>
          <w:bCs/>
          <w:sz w:val="24"/>
          <w:szCs w:val="24"/>
        </w:rPr>
        <w:t xml:space="preserve">Revue de la littérature </w:t>
      </w:r>
    </w:p>
    <w:p w14:paraId="29B7600E"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L'Indice de Stress Financier (FSI), initialement développé par Illing et Liu (2006), sert de base pour surveiller les niveaux de stress au sein des systèmes financiers et fournir des signaux d'alerte précoce d'instabilité potentielle. Son calcul intègre plusieurs indicateurs tels que les écarts de crédit, la volatilité des marchés boursiers, les taux de prêt interbancaires et les fluctuations des taux de change capturant ainsi les diverses dimensions du stress de marché. Chaque composant est standardisé et pondéré en fonction de sa contribution au risque systémique, avec des ajustements prenant en compte les co-mouvements entre les indicateurs. L’indice composite résultant reflète le stress financier global du marché sous forme de somme pondérée de ces composants. Cette approche normalisée a été conçue à l'origine pour surveiller les risques dans les marchés bancaires et de capitaux, et a été affinée par Hakkio et Keeton (2009) ainsi que Duprey et al. (2017) pour inclure des facteurs tels que la liquidité de marché et le risque de crédit, améliorant ainsi sa précision dans la capture des vulnérabilités systémiques. L’indice a depuis évolué pour inclure des actifs numériques comme les cryptomonnaies, en particulier lors de crises mondiales telles que la pandémie de COVID-19 (Cardarelli et al., 2011). Des études récentes démontrent la capacité de l'FSI à signaler des phénomènes de contagion entre classes d'actifs, y compris les actifs numériques de plus en plus intégrés aux systèmes financiers mondiaux (Gauthier et al., 2021 ; Chevallier &amp; Ielpo, 2020).</w:t>
      </w:r>
    </w:p>
    <w:p w14:paraId="7AECB0C1"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Les cryptomonnaies, connues pour leur forte sensibilité au stress de marché, ont été un point focal dans les études de résilience en période de crise. Alors que les actifs numériques ont réagi vivement à la crise de la COVID-19, les chercheurs ont mis en évidence à la fois leur potentiel de couverture et leur vulnérabilité aux chocs systémiques (Corbet et al., 2020 ; Conlon et al., 2020). Par exemple, bien que le Bitcoin ait initialement semblé jouer le rôle d’« or numérique », des études ultérieures ont montré que cet actif, tout comme d'autres actifs « sales » tels que l’Ethereum, reste sensible aux pressions environnementales et réglementaires en raison de la consommation énergétique intensive de leur minage (Zhang et al., 2020). À l'inverse, des cryptomonnaies « propres », telles que Ripple (XRP) et Stellar (XLM), ont montré une stabilité relativement plus grande face au stress de marché, soulignant l’impact potentiel de la classification environnementale sur la résilience en période de crise (Goodell &amp; Goutte, 2021).</w:t>
      </w:r>
    </w:p>
    <w:p w14:paraId="6545DABD"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Pour analyser ces dynamiques de résilience, le modèle de Vecteur Autorégressif à Paramètres Variables dans le Temps (TVP-VAR) fournit un cadre robuste. En se basant sur les modèles VAR traditionnels, l'approche TVP-VAR permet aux coefficients de varier dans le temps, ce qui en fait un outil idéal pour capturer les relations évolutives entre actifs volatils (Primiceri, 2005 ; Koop &amp; Korobilis, 2010). Sa flexibilité à modéliser une volatilité variable dans le temps est particulièrement adaptée aux périodes de crise, où les relations de marché sont intrinsèquement instables. Le TVP-VAR s’est révélé efficace pour examiner la transmission du risque et les effets de débordement de volatilité entre différentes classes d'actifs (Canova &amp; Ciccarelli, 2013 ; Beltratti &amp; Morana, 2010). Dans les études sur les cryptomonnaies, le TVP-VAR a été appliqué pour capturer les effets de débordement temporel entre les marchés traditionnels et numériques (Bouri et al., 2020 ; Umar et al., 2021). En appliquant l'ISF dans un cadre TVP-VAR, cette étude approfondit la compréhension de la résilience des cryptomonnaies « propres » par rapport aux « sales », enrichissant les connaissances sur leur comportement et leur potentiel de contagion lors de conditions de marché extrêmes.</w:t>
      </w:r>
    </w:p>
    <w:p w14:paraId="43E583F7" w14:textId="77777777" w:rsidR="002D3320" w:rsidRDefault="002D3320" w:rsidP="002D3320">
      <w:pPr>
        <w:pStyle w:val="Paragraphedeliste"/>
        <w:numPr>
          <w:ilvl w:val="0"/>
          <w:numId w:val="28"/>
        </w:numPr>
        <w:spacing w:after="160"/>
        <w:rPr>
          <w:rFonts w:asciiTheme="majorBidi" w:hAnsiTheme="majorBidi" w:cstheme="majorBidi"/>
          <w:b/>
          <w:bCs/>
          <w:sz w:val="24"/>
          <w:szCs w:val="24"/>
        </w:rPr>
      </w:pPr>
      <w:r w:rsidRPr="003C5D92">
        <w:rPr>
          <w:rFonts w:asciiTheme="majorBidi" w:hAnsiTheme="majorBidi" w:cstheme="majorBidi"/>
          <w:b/>
          <w:bCs/>
          <w:sz w:val="24"/>
          <w:szCs w:val="24"/>
        </w:rPr>
        <w:t xml:space="preserve">Données et méthodologie </w:t>
      </w:r>
    </w:p>
    <w:p w14:paraId="0D5DA76D" w14:textId="5CD52AA2" w:rsid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 xml:space="preserve">Cette étude utilise des données journalières des principales crypto-monnaies, comprenant Bitcoin (BTC), Ethereum (ETH), Litecoin (LTC), Ripple (XRP), Cardano (ADA) et Stellar (XLM). Ces données ont été collectées sur CoinMarketCap.com et couvrent la période du 1er janvier 2018 au 1er janvier 2024. L'indice de stress financier (FSI), extrait de la base </w:t>
      </w:r>
      <w:hyperlink r:id="rId8" w:history="1">
        <w:r w:rsidRPr="002D3320">
          <w:rPr>
            <w:rStyle w:val="Lienhypertexte"/>
            <w:rFonts w:asciiTheme="minorHAnsi" w:hAnsiTheme="minorHAnsi" w:cstheme="minorHAnsi"/>
            <w:lang w:val="fr-FR"/>
          </w:rPr>
          <w:t>https://www.financialresearch.gov/financial-stress-index/</w:t>
        </w:r>
      </w:hyperlink>
      <w:r w:rsidRPr="002D3320">
        <w:rPr>
          <w:rFonts w:asciiTheme="minorHAnsi" w:hAnsiTheme="minorHAnsi" w:cstheme="minorHAnsi"/>
          <w:lang w:val="fr-FR"/>
        </w:rPr>
        <w:t xml:space="preserve"> , sert de proxy pour capturer l'impact de l'incertitude provoquée par la pandémie de COVID-19 sur ces actifs numériques.</w:t>
      </w:r>
    </w:p>
    <w:p w14:paraId="27088FFA" w14:textId="77F1ABED" w:rsidR="002D3320" w:rsidRPr="002D3320" w:rsidRDefault="002D3320" w:rsidP="002D3320">
      <w:pPr>
        <w:pStyle w:val="NormalWeb"/>
        <w:spacing w:line="360" w:lineRule="auto"/>
        <w:jc w:val="both"/>
        <w:rPr>
          <w:rFonts w:asciiTheme="minorHAnsi" w:hAnsiTheme="minorHAnsi" w:cstheme="minorHAnsi"/>
          <w:sz w:val="32"/>
          <w:szCs w:val="32"/>
          <w:lang w:val="fr-FR"/>
        </w:rPr>
      </w:pPr>
      <w:r w:rsidRPr="002D3320">
        <w:rPr>
          <w:rFonts w:asciiTheme="majorBidi" w:hAnsiTheme="majorBidi" w:cstheme="majorBidi"/>
          <w:b/>
          <w:bCs/>
          <w:lang w:val="fr-FR"/>
        </w:rPr>
        <w:t>Tableau 1.</w:t>
      </w:r>
      <w:r w:rsidRPr="002D3320">
        <w:rPr>
          <w:rFonts w:asciiTheme="majorBidi" w:hAnsiTheme="majorBidi" w:cstheme="majorBidi"/>
          <w:lang w:val="fr-FR"/>
        </w:rPr>
        <w:t xml:space="preserve"> Résultats des statistiques descriptives pour les données sur les volatilités quotidiennes actualisées.</w:t>
      </w:r>
    </w:p>
    <w:tbl>
      <w:tblPr>
        <w:tblStyle w:val="TableauGrille1Clair"/>
        <w:tblpPr w:leftFromText="180" w:rightFromText="180" w:vertAnchor="page" w:horzAnchor="margin" w:tblpXSpec="center" w:tblpY="4231"/>
        <w:tblW w:w="11495" w:type="dxa"/>
        <w:tblLook w:val="04A0" w:firstRow="1" w:lastRow="0" w:firstColumn="1" w:lastColumn="0" w:noHBand="0" w:noVBand="1"/>
      </w:tblPr>
      <w:tblGrid>
        <w:gridCol w:w="1163"/>
        <w:gridCol w:w="1476"/>
        <w:gridCol w:w="1476"/>
        <w:gridCol w:w="1356"/>
        <w:gridCol w:w="1356"/>
        <w:gridCol w:w="1596"/>
        <w:gridCol w:w="1476"/>
        <w:gridCol w:w="1596"/>
      </w:tblGrid>
      <w:tr w:rsidR="002D3320" w:rsidRPr="009100F6" w14:paraId="2FF5CC87" w14:textId="77777777" w:rsidTr="002D3320">
        <w:trPr>
          <w:cnfStyle w:val="100000000000" w:firstRow="1" w:lastRow="0" w:firstColumn="0" w:lastColumn="0" w:oddVBand="0" w:evenVBand="0" w:oddHBand="0"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1163" w:type="dxa"/>
          </w:tcPr>
          <w:p w14:paraId="6254E73E" w14:textId="77777777" w:rsidR="002D3320" w:rsidRPr="009100F6" w:rsidRDefault="002D3320" w:rsidP="002D3320">
            <w:pPr>
              <w:spacing w:line="360" w:lineRule="auto"/>
              <w:jc w:val="both"/>
              <w:rPr>
                <w:rFonts w:asciiTheme="majorBidi" w:hAnsiTheme="majorBidi" w:cstheme="majorBidi"/>
                <w:b w:val="0"/>
                <w:bCs w:val="0"/>
                <w:sz w:val="24"/>
                <w:szCs w:val="24"/>
                <w:lang w:val="fr-FR"/>
              </w:rPr>
            </w:pPr>
          </w:p>
        </w:tc>
        <w:tc>
          <w:tcPr>
            <w:tcW w:w="1476" w:type="dxa"/>
          </w:tcPr>
          <w:p w14:paraId="6E380F0F" w14:textId="77777777" w:rsidR="002D3320" w:rsidRPr="009100F6" w:rsidRDefault="002D3320" w:rsidP="002D33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9100F6">
              <w:rPr>
                <w:rFonts w:asciiTheme="majorBidi" w:hAnsiTheme="majorBidi" w:cstheme="majorBidi"/>
                <w:sz w:val="24"/>
                <w:szCs w:val="24"/>
                <w:lang w:val="fr-FR"/>
              </w:rPr>
              <w:t>BTC</w:t>
            </w:r>
          </w:p>
        </w:tc>
        <w:tc>
          <w:tcPr>
            <w:tcW w:w="1476" w:type="dxa"/>
          </w:tcPr>
          <w:p w14:paraId="77A6B4F9" w14:textId="77777777" w:rsidR="002D3320" w:rsidRPr="009100F6" w:rsidRDefault="002D3320" w:rsidP="002D33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9100F6">
              <w:rPr>
                <w:rFonts w:asciiTheme="majorBidi" w:hAnsiTheme="majorBidi" w:cstheme="majorBidi"/>
                <w:sz w:val="24"/>
                <w:szCs w:val="24"/>
                <w:lang w:val="fr-FR"/>
              </w:rPr>
              <w:t>ETH</w:t>
            </w:r>
          </w:p>
        </w:tc>
        <w:tc>
          <w:tcPr>
            <w:tcW w:w="1356" w:type="dxa"/>
          </w:tcPr>
          <w:p w14:paraId="51799E7B" w14:textId="77777777" w:rsidR="002D3320" w:rsidRPr="009100F6" w:rsidRDefault="002D3320" w:rsidP="002D33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9100F6">
              <w:rPr>
                <w:rFonts w:asciiTheme="majorBidi" w:hAnsiTheme="majorBidi" w:cstheme="majorBidi"/>
                <w:sz w:val="24"/>
                <w:szCs w:val="24"/>
                <w:lang w:val="fr-FR"/>
              </w:rPr>
              <w:t>LTC</w:t>
            </w:r>
          </w:p>
        </w:tc>
        <w:tc>
          <w:tcPr>
            <w:tcW w:w="1356" w:type="dxa"/>
          </w:tcPr>
          <w:p w14:paraId="41C1AF6C" w14:textId="77777777" w:rsidR="002D3320" w:rsidRPr="009100F6" w:rsidRDefault="002D3320" w:rsidP="002D33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9100F6">
              <w:rPr>
                <w:rFonts w:asciiTheme="majorBidi" w:hAnsiTheme="majorBidi" w:cstheme="majorBidi"/>
                <w:sz w:val="24"/>
                <w:szCs w:val="24"/>
                <w:lang w:val="fr-FR"/>
              </w:rPr>
              <w:t>ADA</w:t>
            </w:r>
          </w:p>
        </w:tc>
        <w:tc>
          <w:tcPr>
            <w:tcW w:w="1596" w:type="dxa"/>
          </w:tcPr>
          <w:p w14:paraId="3E739ACD" w14:textId="77777777" w:rsidR="002D3320" w:rsidRPr="009100F6" w:rsidRDefault="002D3320" w:rsidP="002D33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9100F6">
              <w:rPr>
                <w:rFonts w:asciiTheme="majorBidi" w:hAnsiTheme="majorBidi" w:cstheme="majorBidi"/>
                <w:sz w:val="24"/>
                <w:szCs w:val="24"/>
                <w:lang w:val="fr-FR"/>
              </w:rPr>
              <w:t>XRP</w:t>
            </w:r>
          </w:p>
        </w:tc>
        <w:tc>
          <w:tcPr>
            <w:tcW w:w="1476" w:type="dxa"/>
          </w:tcPr>
          <w:p w14:paraId="740678C5" w14:textId="77777777" w:rsidR="002D3320" w:rsidRPr="009100F6" w:rsidRDefault="002D3320" w:rsidP="002D33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9100F6">
              <w:rPr>
                <w:rFonts w:asciiTheme="majorBidi" w:hAnsiTheme="majorBidi" w:cstheme="majorBidi"/>
                <w:sz w:val="24"/>
                <w:szCs w:val="24"/>
                <w:lang w:val="fr-FR"/>
              </w:rPr>
              <w:t>XLM</w:t>
            </w:r>
          </w:p>
        </w:tc>
        <w:tc>
          <w:tcPr>
            <w:tcW w:w="1596" w:type="dxa"/>
          </w:tcPr>
          <w:p w14:paraId="375416A7" w14:textId="77777777" w:rsidR="002D3320" w:rsidRPr="009100F6" w:rsidRDefault="002D3320" w:rsidP="002D33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9100F6">
              <w:rPr>
                <w:rFonts w:asciiTheme="majorBidi" w:hAnsiTheme="majorBidi" w:cstheme="majorBidi"/>
                <w:sz w:val="24"/>
                <w:szCs w:val="24"/>
                <w:lang w:val="fr-FR"/>
              </w:rPr>
              <w:t>FSI</w:t>
            </w:r>
          </w:p>
        </w:tc>
      </w:tr>
      <w:tr w:rsidR="002D3320" w:rsidRPr="009100F6" w14:paraId="5A4F780D" w14:textId="77777777" w:rsidTr="002D3320">
        <w:trPr>
          <w:trHeight w:val="161"/>
        </w:trPr>
        <w:tc>
          <w:tcPr>
            <w:cnfStyle w:val="001000000000" w:firstRow="0" w:lastRow="0" w:firstColumn="1" w:lastColumn="0" w:oddVBand="0" w:evenVBand="0" w:oddHBand="0" w:evenHBand="0" w:firstRowFirstColumn="0" w:firstRowLastColumn="0" w:lastRowFirstColumn="0" w:lastRowLastColumn="0"/>
            <w:tcW w:w="1163" w:type="dxa"/>
          </w:tcPr>
          <w:p w14:paraId="03B411F1" w14:textId="77777777" w:rsidR="002D3320" w:rsidRPr="009100F6" w:rsidRDefault="002D3320" w:rsidP="002D3320">
            <w:pPr>
              <w:spacing w:line="360" w:lineRule="auto"/>
              <w:jc w:val="center"/>
              <w:rPr>
                <w:rFonts w:asciiTheme="majorBidi" w:hAnsiTheme="majorBidi" w:cstheme="majorBidi"/>
                <w:sz w:val="24"/>
                <w:szCs w:val="24"/>
                <w:lang w:val="fr-FR"/>
              </w:rPr>
            </w:pPr>
            <w:r w:rsidRPr="009100F6">
              <w:rPr>
                <w:rFonts w:asciiTheme="majorBidi" w:hAnsiTheme="majorBidi" w:cstheme="majorBidi"/>
                <w:sz w:val="24"/>
                <w:szCs w:val="24"/>
                <w:lang w:val="fr-FR"/>
              </w:rPr>
              <w:t>N</w:t>
            </w:r>
          </w:p>
        </w:tc>
        <w:tc>
          <w:tcPr>
            <w:tcW w:w="1476" w:type="dxa"/>
          </w:tcPr>
          <w:p w14:paraId="2E20F530"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2192</w:t>
            </w:r>
          </w:p>
        </w:tc>
        <w:tc>
          <w:tcPr>
            <w:tcW w:w="1476" w:type="dxa"/>
          </w:tcPr>
          <w:p w14:paraId="416AF37A"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2192</w:t>
            </w:r>
          </w:p>
        </w:tc>
        <w:tc>
          <w:tcPr>
            <w:tcW w:w="1356" w:type="dxa"/>
          </w:tcPr>
          <w:p w14:paraId="3F0B5C46"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2192</w:t>
            </w:r>
          </w:p>
        </w:tc>
        <w:tc>
          <w:tcPr>
            <w:tcW w:w="1356" w:type="dxa"/>
          </w:tcPr>
          <w:p w14:paraId="31DFB1D0"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2192</w:t>
            </w:r>
          </w:p>
        </w:tc>
        <w:tc>
          <w:tcPr>
            <w:tcW w:w="1596" w:type="dxa"/>
          </w:tcPr>
          <w:p w14:paraId="6DB53DDE"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2192</w:t>
            </w:r>
          </w:p>
        </w:tc>
        <w:tc>
          <w:tcPr>
            <w:tcW w:w="1476" w:type="dxa"/>
          </w:tcPr>
          <w:p w14:paraId="5D136E86"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2192</w:t>
            </w:r>
          </w:p>
        </w:tc>
        <w:tc>
          <w:tcPr>
            <w:tcW w:w="1596" w:type="dxa"/>
          </w:tcPr>
          <w:p w14:paraId="4D83F4B4"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2191</w:t>
            </w:r>
          </w:p>
        </w:tc>
      </w:tr>
      <w:tr w:rsidR="002D3320" w:rsidRPr="009100F6" w14:paraId="2EF15DB7" w14:textId="77777777" w:rsidTr="002D3320">
        <w:trPr>
          <w:trHeight w:val="343"/>
        </w:trPr>
        <w:tc>
          <w:tcPr>
            <w:cnfStyle w:val="001000000000" w:firstRow="0" w:lastRow="0" w:firstColumn="1" w:lastColumn="0" w:oddVBand="0" w:evenVBand="0" w:oddHBand="0" w:evenHBand="0" w:firstRowFirstColumn="0" w:firstRowLastColumn="0" w:lastRowFirstColumn="0" w:lastRowLastColumn="0"/>
            <w:tcW w:w="1163" w:type="dxa"/>
          </w:tcPr>
          <w:p w14:paraId="35BD82AF" w14:textId="77777777" w:rsidR="002D3320" w:rsidRPr="009100F6" w:rsidRDefault="002D3320" w:rsidP="002D3320">
            <w:pPr>
              <w:spacing w:line="360" w:lineRule="auto"/>
              <w:jc w:val="center"/>
              <w:rPr>
                <w:rFonts w:asciiTheme="majorBidi" w:hAnsiTheme="majorBidi" w:cstheme="majorBidi"/>
                <w:sz w:val="24"/>
                <w:szCs w:val="24"/>
                <w:lang w:val="fr-FR"/>
              </w:rPr>
            </w:pPr>
            <w:r w:rsidRPr="009100F6">
              <w:rPr>
                <w:rFonts w:asciiTheme="majorBidi" w:hAnsiTheme="majorBidi" w:cstheme="majorBidi"/>
                <w:sz w:val="24"/>
                <w:szCs w:val="24"/>
                <w:lang w:val="fr-FR"/>
              </w:rPr>
              <w:t>Moyenne</w:t>
            </w:r>
          </w:p>
        </w:tc>
        <w:tc>
          <w:tcPr>
            <w:tcW w:w="1476" w:type="dxa"/>
          </w:tcPr>
          <w:p w14:paraId="424B45FF"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-0.00023</w:t>
            </w:r>
          </w:p>
        </w:tc>
        <w:tc>
          <w:tcPr>
            <w:tcW w:w="1476" w:type="dxa"/>
          </w:tcPr>
          <w:p w14:paraId="5CC919FB"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-0.00022</w:t>
            </w:r>
          </w:p>
        </w:tc>
        <w:tc>
          <w:tcPr>
            <w:tcW w:w="1356" w:type="dxa"/>
          </w:tcPr>
          <w:p w14:paraId="29F6A3ED"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0.00023</w:t>
            </w:r>
          </w:p>
        </w:tc>
        <w:tc>
          <w:tcPr>
            <w:tcW w:w="1356" w:type="dxa"/>
          </w:tcPr>
          <w:p w14:paraId="75FB8A98"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3.6628e-05</w:t>
            </w:r>
          </w:p>
        </w:tc>
        <w:tc>
          <w:tcPr>
            <w:tcW w:w="1596" w:type="dxa"/>
          </w:tcPr>
          <w:p w14:paraId="4E00DEB5"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0.00027</w:t>
            </w:r>
          </w:p>
        </w:tc>
        <w:tc>
          <w:tcPr>
            <w:tcW w:w="1476" w:type="dxa"/>
          </w:tcPr>
          <w:p w14:paraId="126C9867"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0.00026</w:t>
            </w:r>
          </w:p>
        </w:tc>
        <w:tc>
          <w:tcPr>
            <w:tcW w:w="1596" w:type="dxa"/>
          </w:tcPr>
          <w:p w14:paraId="6B1F684E"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-0.00903</w:t>
            </w:r>
          </w:p>
        </w:tc>
      </w:tr>
      <w:tr w:rsidR="002D3320" w:rsidRPr="009100F6" w14:paraId="3C0313A9" w14:textId="77777777" w:rsidTr="002D3320">
        <w:trPr>
          <w:trHeight w:val="333"/>
        </w:trPr>
        <w:tc>
          <w:tcPr>
            <w:cnfStyle w:val="001000000000" w:firstRow="0" w:lastRow="0" w:firstColumn="1" w:lastColumn="0" w:oddVBand="0" w:evenVBand="0" w:oddHBand="0" w:evenHBand="0" w:firstRowFirstColumn="0" w:firstRowLastColumn="0" w:lastRowFirstColumn="0" w:lastRowLastColumn="0"/>
            <w:tcW w:w="1163" w:type="dxa"/>
          </w:tcPr>
          <w:p w14:paraId="7CA5062D" w14:textId="77777777" w:rsidR="002D3320" w:rsidRPr="009100F6" w:rsidRDefault="002D3320" w:rsidP="002D3320">
            <w:pPr>
              <w:spacing w:line="360" w:lineRule="auto"/>
              <w:jc w:val="center"/>
              <w:rPr>
                <w:rFonts w:asciiTheme="majorBidi" w:hAnsiTheme="majorBidi" w:cstheme="majorBidi"/>
                <w:sz w:val="24"/>
                <w:szCs w:val="24"/>
                <w:lang w:val="fr-FR"/>
              </w:rPr>
            </w:pPr>
            <w:r w:rsidRPr="009100F6">
              <w:rPr>
                <w:rFonts w:asciiTheme="majorBidi" w:hAnsiTheme="majorBidi" w:cstheme="majorBidi"/>
                <w:sz w:val="24"/>
                <w:szCs w:val="24"/>
                <w:lang w:val="fr-FR"/>
              </w:rPr>
              <w:t>Médiane</w:t>
            </w:r>
          </w:p>
        </w:tc>
        <w:tc>
          <w:tcPr>
            <w:tcW w:w="1476" w:type="dxa"/>
          </w:tcPr>
          <w:p w14:paraId="61EADE3D"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-0.00034</w:t>
            </w:r>
          </w:p>
        </w:tc>
        <w:tc>
          <w:tcPr>
            <w:tcW w:w="1476" w:type="dxa"/>
          </w:tcPr>
          <w:p w14:paraId="0A5CA799"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-0.00026</w:t>
            </w:r>
          </w:p>
        </w:tc>
        <w:tc>
          <w:tcPr>
            <w:tcW w:w="1356" w:type="dxa"/>
          </w:tcPr>
          <w:p w14:paraId="1F965F77"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-8.135e-05</w:t>
            </w:r>
          </w:p>
        </w:tc>
        <w:tc>
          <w:tcPr>
            <w:tcW w:w="1356" w:type="dxa"/>
          </w:tcPr>
          <w:p w14:paraId="66D92BA0"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0.00011</w:t>
            </w:r>
          </w:p>
        </w:tc>
        <w:tc>
          <w:tcPr>
            <w:tcW w:w="1596" w:type="dxa"/>
          </w:tcPr>
          <w:p w14:paraId="346B7955"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0.00043</w:t>
            </w:r>
          </w:p>
        </w:tc>
        <w:tc>
          <w:tcPr>
            <w:tcW w:w="1476" w:type="dxa"/>
          </w:tcPr>
          <w:p w14:paraId="1A1A946A"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0.00026</w:t>
            </w:r>
          </w:p>
        </w:tc>
        <w:tc>
          <w:tcPr>
            <w:tcW w:w="1596" w:type="dxa"/>
          </w:tcPr>
          <w:p w14:paraId="08BC5484"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0.00192</w:t>
            </w:r>
          </w:p>
        </w:tc>
      </w:tr>
      <w:tr w:rsidR="002D3320" w:rsidRPr="009100F6" w14:paraId="1F4A05C0" w14:textId="77777777" w:rsidTr="002D3320">
        <w:trPr>
          <w:trHeight w:val="171"/>
        </w:trPr>
        <w:tc>
          <w:tcPr>
            <w:cnfStyle w:val="001000000000" w:firstRow="0" w:lastRow="0" w:firstColumn="1" w:lastColumn="0" w:oddVBand="0" w:evenVBand="0" w:oddHBand="0" w:evenHBand="0" w:firstRowFirstColumn="0" w:firstRowLastColumn="0" w:lastRowFirstColumn="0" w:lastRowLastColumn="0"/>
            <w:tcW w:w="1163" w:type="dxa"/>
          </w:tcPr>
          <w:p w14:paraId="5D160DB7" w14:textId="77777777" w:rsidR="002D3320" w:rsidRPr="009100F6" w:rsidRDefault="002D3320" w:rsidP="002D3320">
            <w:pPr>
              <w:spacing w:line="360" w:lineRule="auto"/>
              <w:jc w:val="center"/>
              <w:rPr>
                <w:rFonts w:asciiTheme="majorBidi" w:hAnsiTheme="majorBidi" w:cstheme="majorBidi"/>
                <w:sz w:val="24"/>
                <w:szCs w:val="24"/>
                <w:lang w:val="fr-FR"/>
              </w:rPr>
            </w:pPr>
            <w:r w:rsidRPr="009100F6">
              <w:rPr>
                <w:rFonts w:asciiTheme="majorBidi" w:hAnsiTheme="majorBidi" w:cstheme="majorBidi"/>
                <w:sz w:val="24"/>
                <w:szCs w:val="24"/>
                <w:lang w:val="fr-FR"/>
              </w:rPr>
              <w:t>SD</w:t>
            </w:r>
          </w:p>
        </w:tc>
        <w:tc>
          <w:tcPr>
            <w:tcW w:w="1476" w:type="dxa"/>
          </w:tcPr>
          <w:p w14:paraId="3218FEB9"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0.01598</w:t>
            </w:r>
          </w:p>
        </w:tc>
        <w:tc>
          <w:tcPr>
            <w:tcW w:w="1476" w:type="dxa"/>
          </w:tcPr>
          <w:p w14:paraId="03F0BF80"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0.02061</w:t>
            </w:r>
          </w:p>
        </w:tc>
        <w:tc>
          <w:tcPr>
            <w:tcW w:w="1356" w:type="dxa"/>
          </w:tcPr>
          <w:p w14:paraId="45EF3F22"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0.02189</w:t>
            </w:r>
          </w:p>
        </w:tc>
        <w:tc>
          <w:tcPr>
            <w:tcW w:w="1356" w:type="dxa"/>
          </w:tcPr>
          <w:p w14:paraId="0655C695"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0.02413</w:t>
            </w:r>
          </w:p>
        </w:tc>
        <w:tc>
          <w:tcPr>
            <w:tcW w:w="1596" w:type="dxa"/>
          </w:tcPr>
          <w:p w14:paraId="23B003B1"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0.02468</w:t>
            </w:r>
          </w:p>
        </w:tc>
        <w:tc>
          <w:tcPr>
            <w:tcW w:w="1476" w:type="dxa"/>
          </w:tcPr>
          <w:p w14:paraId="328A74AB"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0.02388</w:t>
            </w:r>
          </w:p>
        </w:tc>
        <w:tc>
          <w:tcPr>
            <w:tcW w:w="1596" w:type="dxa"/>
          </w:tcPr>
          <w:p w14:paraId="04AA9606"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0.19539</w:t>
            </w:r>
          </w:p>
        </w:tc>
      </w:tr>
      <w:tr w:rsidR="002D3320" w:rsidRPr="009100F6" w14:paraId="19853C8C" w14:textId="77777777" w:rsidTr="002D3320">
        <w:trPr>
          <w:trHeight w:val="333"/>
        </w:trPr>
        <w:tc>
          <w:tcPr>
            <w:cnfStyle w:val="001000000000" w:firstRow="0" w:lastRow="0" w:firstColumn="1" w:lastColumn="0" w:oddVBand="0" w:evenVBand="0" w:oddHBand="0" w:evenHBand="0" w:firstRowFirstColumn="0" w:firstRowLastColumn="0" w:lastRowFirstColumn="0" w:lastRowLastColumn="0"/>
            <w:tcW w:w="1163" w:type="dxa"/>
          </w:tcPr>
          <w:p w14:paraId="75CB589C" w14:textId="77777777" w:rsidR="002D3320" w:rsidRPr="009100F6" w:rsidRDefault="002D3320" w:rsidP="002D3320">
            <w:pPr>
              <w:spacing w:line="360" w:lineRule="auto"/>
              <w:jc w:val="center"/>
              <w:rPr>
                <w:rFonts w:asciiTheme="majorBidi" w:hAnsiTheme="majorBidi" w:cstheme="majorBidi"/>
                <w:sz w:val="24"/>
                <w:szCs w:val="24"/>
                <w:lang w:val="fr-FR"/>
              </w:rPr>
            </w:pPr>
            <w:r w:rsidRPr="009100F6">
              <w:rPr>
                <w:rFonts w:asciiTheme="majorBidi" w:hAnsiTheme="majorBidi" w:cstheme="majorBidi"/>
                <w:sz w:val="24"/>
                <w:szCs w:val="24"/>
                <w:lang w:val="fr-FR"/>
              </w:rPr>
              <w:t>skewness</w:t>
            </w:r>
          </w:p>
        </w:tc>
        <w:tc>
          <w:tcPr>
            <w:tcW w:w="1476" w:type="dxa"/>
          </w:tcPr>
          <w:p w14:paraId="15134BEA"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1.05693</w:t>
            </w:r>
          </w:p>
        </w:tc>
        <w:tc>
          <w:tcPr>
            <w:tcW w:w="1476" w:type="dxa"/>
          </w:tcPr>
          <w:p w14:paraId="20541193"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1.02247</w:t>
            </w:r>
          </w:p>
        </w:tc>
        <w:tc>
          <w:tcPr>
            <w:tcW w:w="1356" w:type="dxa"/>
          </w:tcPr>
          <w:p w14:paraId="5432E568"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0.54707</w:t>
            </w:r>
          </w:p>
        </w:tc>
        <w:tc>
          <w:tcPr>
            <w:tcW w:w="1356" w:type="dxa"/>
          </w:tcPr>
          <w:p w14:paraId="3F9798AE"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0.02434</w:t>
            </w:r>
          </w:p>
        </w:tc>
        <w:tc>
          <w:tcPr>
            <w:tcW w:w="1596" w:type="dxa"/>
          </w:tcPr>
          <w:p w14:paraId="35C91325"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-0.32481</w:t>
            </w:r>
          </w:p>
        </w:tc>
        <w:tc>
          <w:tcPr>
            <w:tcW w:w="1476" w:type="dxa"/>
          </w:tcPr>
          <w:p w14:paraId="7DF0344D"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-0.89584</w:t>
            </w:r>
          </w:p>
        </w:tc>
        <w:tc>
          <w:tcPr>
            <w:tcW w:w="1596" w:type="dxa"/>
          </w:tcPr>
          <w:p w14:paraId="03136137"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-0.58483</w:t>
            </w:r>
          </w:p>
        </w:tc>
      </w:tr>
      <w:tr w:rsidR="002D3320" w:rsidRPr="009100F6" w14:paraId="74B904B9" w14:textId="77777777" w:rsidTr="002D3320">
        <w:trPr>
          <w:trHeight w:val="343"/>
        </w:trPr>
        <w:tc>
          <w:tcPr>
            <w:cnfStyle w:val="001000000000" w:firstRow="0" w:lastRow="0" w:firstColumn="1" w:lastColumn="0" w:oddVBand="0" w:evenVBand="0" w:oddHBand="0" w:evenHBand="0" w:firstRowFirstColumn="0" w:firstRowLastColumn="0" w:lastRowFirstColumn="0" w:lastRowLastColumn="0"/>
            <w:tcW w:w="1163" w:type="dxa"/>
          </w:tcPr>
          <w:p w14:paraId="277077DE" w14:textId="77777777" w:rsidR="002D3320" w:rsidRPr="009100F6" w:rsidRDefault="002D3320" w:rsidP="002D3320">
            <w:pPr>
              <w:spacing w:line="360" w:lineRule="auto"/>
              <w:jc w:val="center"/>
              <w:rPr>
                <w:rFonts w:asciiTheme="majorBidi" w:hAnsiTheme="majorBidi" w:cstheme="majorBidi"/>
                <w:sz w:val="24"/>
                <w:szCs w:val="24"/>
                <w:lang w:val="fr-FR"/>
              </w:rPr>
            </w:pPr>
            <w:r w:rsidRPr="009100F6">
              <w:rPr>
                <w:rFonts w:asciiTheme="majorBidi" w:hAnsiTheme="majorBidi" w:cstheme="majorBidi"/>
                <w:sz w:val="24"/>
                <w:szCs w:val="24"/>
                <w:lang w:val="fr-FR"/>
              </w:rPr>
              <w:t>Kurtosis</w:t>
            </w:r>
          </w:p>
        </w:tc>
        <w:tc>
          <w:tcPr>
            <w:tcW w:w="1476" w:type="dxa"/>
          </w:tcPr>
          <w:p w14:paraId="20B34230"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14.27916</w:t>
            </w:r>
          </w:p>
        </w:tc>
        <w:tc>
          <w:tcPr>
            <w:tcW w:w="1476" w:type="dxa"/>
          </w:tcPr>
          <w:p w14:paraId="17FEEA4E"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11.30312</w:t>
            </w:r>
          </w:p>
        </w:tc>
        <w:tc>
          <w:tcPr>
            <w:tcW w:w="1356" w:type="dxa"/>
          </w:tcPr>
          <w:p w14:paraId="296F7506"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8.30049</w:t>
            </w:r>
          </w:p>
        </w:tc>
        <w:tc>
          <w:tcPr>
            <w:tcW w:w="1356" w:type="dxa"/>
          </w:tcPr>
          <w:p w14:paraId="33E933FB"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6.04041</w:t>
            </w:r>
          </w:p>
        </w:tc>
        <w:tc>
          <w:tcPr>
            <w:tcW w:w="1596" w:type="dxa"/>
          </w:tcPr>
          <w:p w14:paraId="147C04FE"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16.92512</w:t>
            </w:r>
          </w:p>
        </w:tc>
        <w:tc>
          <w:tcPr>
            <w:tcW w:w="1476" w:type="dxa"/>
          </w:tcPr>
          <w:p w14:paraId="74D851D2"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15.034001</w:t>
            </w:r>
          </w:p>
        </w:tc>
        <w:tc>
          <w:tcPr>
            <w:tcW w:w="1596" w:type="dxa"/>
          </w:tcPr>
          <w:p w14:paraId="29C7E56B"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38.03235</w:t>
            </w:r>
          </w:p>
        </w:tc>
      </w:tr>
      <w:tr w:rsidR="002D3320" w:rsidRPr="009100F6" w14:paraId="484BAFBD" w14:textId="77777777" w:rsidTr="002D3320">
        <w:trPr>
          <w:trHeight w:val="333"/>
        </w:trPr>
        <w:tc>
          <w:tcPr>
            <w:cnfStyle w:val="001000000000" w:firstRow="0" w:lastRow="0" w:firstColumn="1" w:lastColumn="0" w:oddVBand="0" w:evenVBand="0" w:oddHBand="0" w:evenHBand="0" w:firstRowFirstColumn="0" w:firstRowLastColumn="0" w:lastRowFirstColumn="0" w:lastRowLastColumn="0"/>
            <w:tcW w:w="1163" w:type="dxa"/>
          </w:tcPr>
          <w:p w14:paraId="78F718A7" w14:textId="77777777" w:rsidR="002D3320" w:rsidRPr="009100F6" w:rsidRDefault="002D3320" w:rsidP="002D3320">
            <w:pPr>
              <w:spacing w:line="360" w:lineRule="auto"/>
              <w:jc w:val="center"/>
              <w:rPr>
                <w:rFonts w:asciiTheme="majorBidi" w:hAnsiTheme="majorBidi" w:cstheme="majorBidi"/>
                <w:sz w:val="24"/>
                <w:szCs w:val="24"/>
                <w:lang w:val="fr-FR"/>
              </w:rPr>
            </w:pPr>
            <w:r w:rsidRPr="009100F6">
              <w:rPr>
                <w:rFonts w:asciiTheme="majorBidi" w:hAnsiTheme="majorBidi" w:cstheme="majorBidi"/>
                <w:sz w:val="24"/>
                <w:szCs w:val="24"/>
                <w:lang w:val="fr-FR"/>
              </w:rPr>
              <w:t>J-B</w:t>
            </w:r>
          </w:p>
        </w:tc>
        <w:tc>
          <w:tcPr>
            <w:tcW w:w="1476" w:type="dxa"/>
          </w:tcPr>
          <w:p w14:paraId="3A79AACA"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18938.01345</w:t>
            </w:r>
          </w:p>
        </w:tc>
        <w:tc>
          <w:tcPr>
            <w:tcW w:w="1476" w:type="dxa"/>
          </w:tcPr>
          <w:p w14:paraId="6899E56A"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11991.43395</w:t>
            </w:r>
          </w:p>
        </w:tc>
        <w:tc>
          <w:tcPr>
            <w:tcW w:w="1356" w:type="dxa"/>
          </w:tcPr>
          <w:p w14:paraId="73031222"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6369.09073</w:t>
            </w:r>
          </w:p>
        </w:tc>
        <w:tc>
          <w:tcPr>
            <w:tcW w:w="1356" w:type="dxa"/>
          </w:tcPr>
          <w:p w14:paraId="57DBA181"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3314.46407</w:t>
            </w:r>
          </w:p>
        </w:tc>
        <w:tc>
          <w:tcPr>
            <w:tcW w:w="1596" w:type="dxa"/>
          </w:tcPr>
          <w:p w14:paraId="1FCFB525"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26074.220561</w:t>
            </w:r>
          </w:p>
        </w:tc>
        <w:tc>
          <w:tcPr>
            <w:tcW w:w="1476" w:type="dxa"/>
          </w:tcPr>
          <w:p w14:paraId="7E6519C4"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20834.55295</w:t>
            </w:r>
          </w:p>
        </w:tc>
        <w:tc>
          <w:tcPr>
            <w:tcW w:w="1596" w:type="dxa"/>
          </w:tcPr>
          <w:p w14:paraId="079A5F6E"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131553.86348</w:t>
            </w:r>
          </w:p>
        </w:tc>
      </w:tr>
      <w:tr w:rsidR="002D3320" w:rsidRPr="009100F6" w14:paraId="3F349E24" w14:textId="77777777" w:rsidTr="002D3320">
        <w:trPr>
          <w:trHeight w:val="161"/>
        </w:trPr>
        <w:tc>
          <w:tcPr>
            <w:cnfStyle w:val="001000000000" w:firstRow="0" w:lastRow="0" w:firstColumn="1" w:lastColumn="0" w:oddVBand="0" w:evenVBand="0" w:oddHBand="0" w:evenHBand="0" w:firstRowFirstColumn="0" w:firstRowLastColumn="0" w:lastRowFirstColumn="0" w:lastRowLastColumn="0"/>
            <w:tcW w:w="1163" w:type="dxa"/>
          </w:tcPr>
          <w:p w14:paraId="1AA1C905" w14:textId="77777777" w:rsidR="002D3320" w:rsidRPr="009100F6" w:rsidRDefault="002D3320" w:rsidP="002D3320">
            <w:pPr>
              <w:spacing w:line="360" w:lineRule="auto"/>
              <w:jc w:val="center"/>
              <w:rPr>
                <w:rFonts w:asciiTheme="majorBidi" w:hAnsiTheme="majorBidi" w:cstheme="majorBidi"/>
                <w:sz w:val="24"/>
                <w:szCs w:val="24"/>
                <w:lang w:val="fr-FR"/>
              </w:rPr>
            </w:pPr>
            <w:r w:rsidRPr="009100F6">
              <w:rPr>
                <w:rFonts w:asciiTheme="majorBidi" w:hAnsiTheme="majorBidi" w:cstheme="majorBidi"/>
                <w:sz w:val="24"/>
                <w:szCs w:val="24"/>
                <w:lang w:val="fr-FR"/>
              </w:rPr>
              <w:t>PP</w:t>
            </w:r>
          </w:p>
        </w:tc>
        <w:tc>
          <w:tcPr>
            <w:tcW w:w="1476" w:type="dxa"/>
          </w:tcPr>
          <w:p w14:paraId="4BA972BF"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w:t>
            </w:r>
          </w:p>
        </w:tc>
        <w:tc>
          <w:tcPr>
            <w:tcW w:w="1476" w:type="dxa"/>
          </w:tcPr>
          <w:p w14:paraId="3EA3F07D"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w:t>
            </w:r>
          </w:p>
        </w:tc>
        <w:tc>
          <w:tcPr>
            <w:tcW w:w="1356" w:type="dxa"/>
          </w:tcPr>
          <w:p w14:paraId="324DC2DA"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w:t>
            </w:r>
          </w:p>
        </w:tc>
        <w:tc>
          <w:tcPr>
            <w:tcW w:w="1356" w:type="dxa"/>
          </w:tcPr>
          <w:p w14:paraId="6C38FE0F"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w:t>
            </w:r>
          </w:p>
        </w:tc>
        <w:tc>
          <w:tcPr>
            <w:tcW w:w="1596" w:type="dxa"/>
          </w:tcPr>
          <w:p w14:paraId="61776F9F"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w:t>
            </w:r>
          </w:p>
        </w:tc>
        <w:tc>
          <w:tcPr>
            <w:tcW w:w="1476" w:type="dxa"/>
          </w:tcPr>
          <w:p w14:paraId="3E020F70"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w:t>
            </w:r>
          </w:p>
        </w:tc>
        <w:tc>
          <w:tcPr>
            <w:tcW w:w="1596" w:type="dxa"/>
          </w:tcPr>
          <w:p w14:paraId="70170C02" w14:textId="77777777" w:rsidR="002D3320" w:rsidRPr="009100F6" w:rsidRDefault="002D3320" w:rsidP="002D33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100F6">
              <w:rPr>
                <w:rFonts w:asciiTheme="majorBidi" w:hAnsiTheme="majorBidi" w:cstheme="majorBidi"/>
                <w:sz w:val="24"/>
                <w:szCs w:val="24"/>
              </w:rPr>
              <w:t>0.0</w:t>
            </w:r>
          </w:p>
        </w:tc>
      </w:tr>
    </w:tbl>
    <w:p w14:paraId="0E882B76" w14:textId="77777777" w:rsidR="002D3320" w:rsidRPr="009100F6" w:rsidRDefault="002D3320" w:rsidP="002D3320">
      <w:pPr>
        <w:rPr>
          <w:rFonts w:asciiTheme="majorBidi" w:hAnsiTheme="majorBidi" w:cstheme="majorBidi"/>
          <w:sz w:val="20"/>
          <w:szCs w:val="20"/>
        </w:rPr>
      </w:pPr>
    </w:p>
    <w:p w14:paraId="18F805D7"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 xml:space="preserve">Par la suite, nous améliorerons notre analyse en étudiant un modèle TVP-VAR à haute dimension qui intègre les avancées récentes des modèles VAR avec volatilité stochastique (VAR-SV), en nous inspirant des études fondatrices de Primiceri (2005), Koop et al. (2009) et Rubio-Ramirez et al. (2010). En adoptant la méthodologie proposée par Chan et al. (2020b), nous analyserons un vecteur N×1 de </w:t>
      </w:r>
      <w:r w:rsidRPr="002D3320">
        <w:rPr>
          <w:rFonts w:ascii="Cambria Math" w:eastAsiaTheme="minorEastAsia" w:hAnsi="Cambria Math" w:cs="Cambria Math"/>
        </w:rPr>
        <w:t>𝒚𝑡</w:t>
      </w:r>
      <w:r w:rsidRPr="002D3320">
        <w:rPr>
          <w:rFonts w:asciiTheme="minorHAnsi" w:eastAsiaTheme="minorEastAsia" w:hAnsiTheme="minorHAnsi" w:cstheme="minorHAnsi"/>
          <w:lang w:val="fr-FR"/>
        </w:rPr>
        <w:t xml:space="preserve"> = (</w:t>
      </w:r>
      <m:oMath>
        <m:sSub>
          <m:sSubPr>
            <m:ctrlPr>
              <w:rPr>
                <w:rFonts w:ascii="Cambria Math" w:eastAsiaTheme="minorEastAsia" w:hAnsi="Cambria Math" w:cstheme="minorHAnsi"/>
                <w:i/>
              </w:rPr>
            </m:ctrlPr>
          </m:sSubPr>
          <m:e>
            <m:r>
              <w:rPr>
                <w:rFonts w:ascii="Cambria Math" w:eastAsiaTheme="minorEastAsia" w:hAnsi="Cambria Math" w:cstheme="minorHAnsi"/>
              </w:rPr>
              <m:t>y</m:t>
            </m:r>
          </m:e>
          <m:sub>
            <m:r>
              <m:rPr>
                <m:sty m:val="p"/>
              </m:rPr>
              <w:rPr>
                <w:rFonts w:ascii="Cambria Math" w:eastAsiaTheme="minorEastAsia" w:hAnsi="Cambria Math" w:cstheme="minorHAnsi"/>
                <w:lang w:val="fr-FR"/>
              </w:rPr>
              <m:t>1,t</m:t>
            </m:r>
          </m:sub>
        </m:sSub>
      </m:oMath>
      <w:r w:rsidRPr="002D3320">
        <w:rPr>
          <w:rFonts w:asciiTheme="minorHAnsi" w:eastAsiaTheme="minorEastAsia" w:hAnsiTheme="minorHAnsi" w:cstheme="minorHAnsi"/>
          <w:lang w:val="fr-FR"/>
        </w:rPr>
        <w:t xml:space="preserve">, ..., </w:t>
      </w:r>
      <m:oMath>
        <m:sSub>
          <m:sSubPr>
            <m:ctrlPr>
              <w:rPr>
                <w:rFonts w:ascii="Cambria Math" w:eastAsiaTheme="minorEastAsia" w:hAnsi="Cambria Math" w:cstheme="minorHAnsi"/>
                <w:i/>
              </w:rPr>
            </m:ctrlPr>
          </m:sSubPr>
          <m:e>
            <m:r>
              <w:rPr>
                <w:rFonts w:ascii="Cambria Math" w:eastAsiaTheme="minorEastAsia" w:hAnsi="Cambria Math" w:cstheme="minorHAnsi"/>
              </w:rPr>
              <m:t>y</m:t>
            </m:r>
          </m:e>
          <m:sub>
            <m:r>
              <m:rPr>
                <m:sty m:val="p"/>
              </m:rPr>
              <w:rPr>
                <w:rFonts w:ascii="Cambria Math" w:eastAsiaTheme="minorEastAsia" w:hAnsi="Cambria Math" w:cstheme="minorHAnsi"/>
                <w:lang w:val="fr-FR"/>
              </w:rPr>
              <m:t>N,t</m:t>
            </m:r>
          </m:sub>
        </m:sSub>
      </m:oMath>
      <w:r w:rsidRPr="002D3320">
        <w:rPr>
          <w:rFonts w:asciiTheme="minorHAnsi" w:eastAsiaTheme="minorEastAsia" w:hAnsiTheme="minorHAnsi" w:cstheme="minorHAnsi"/>
          <w:lang w:val="fr-FR"/>
        </w:rPr>
        <w:t xml:space="preserve">)′ </w:t>
      </w:r>
      <w:r w:rsidRPr="002D3320">
        <w:rPr>
          <w:rFonts w:asciiTheme="minorHAnsi" w:hAnsiTheme="minorHAnsi" w:cstheme="minorHAnsi"/>
          <w:lang w:val="fr-FR"/>
        </w:rPr>
        <w:t>sur la période t=1,...,T. Notre modèle TVP-VAR offrira un reparamétrage innovant de l'approche conventionnelle de forme réduite, fournissant de nouvelles perspectives sur les interdépendances dynamiques et les caractéristiques de volatilité inhérentes aux séries temporelles financières et économiques.:</w:t>
      </w:r>
    </w:p>
    <w:p w14:paraId="7F281676" w14:textId="77777777" w:rsidR="002D3320" w:rsidRPr="002D3320" w:rsidRDefault="002D3320" w:rsidP="002D3320">
      <w:pPr>
        <w:jc w:val="right"/>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t</m:t>
            </m:r>
          </m:sub>
        </m:sSub>
        <m:r>
          <w:rPr>
            <w:rFonts w:ascii="Cambria Math" w:hAnsi="Cambria Math" w:cstheme="minorHAnsi"/>
            <w:sz w:val="24"/>
            <w:szCs w:val="24"/>
          </w:rPr>
          <m:t xml:space="preserve">= </m:t>
        </m:r>
        <m:sSub>
          <m:sSubPr>
            <m:ctrlPr>
              <w:rPr>
                <w:rFonts w:ascii="Cambria Math" w:hAnsi="Cambria Math" w:cstheme="minorHAnsi"/>
                <w:i/>
                <w:sz w:val="24"/>
                <w:szCs w:val="24"/>
              </w:rPr>
            </m:ctrlPr>
          </m:sSubPr>
          <m:e>
            <m:r>
              <w:rPr>
                <w:rFonts w:ascii="Cambria Math" w:hAnsi="Cambria Math" w:cstheme="minorHAnsi"/>
                <w:sz w:val="24"/>
                <w:szCs w:val="24"/>
              </w:rPr>
              <m:t>c</m:t>
            </m:r>
          </m:e>
          <m:sub>
            <m:r>
              <w:rPr>
                <w:rFonts w:ascii="Cambria Math" w:hAnsi="Cambria Math" w:cstheme="minorHAnsi"/>
                <w:sz w:val="24"/>
                <w:szCs w:val="24"/>
              </w:rPr>
              <m:t>t</m:t>
            </m:r>
          </m:sub>
        </m:sSub>
        <m:r>
          <w:rPr>
            <w:rFonts w:ascii="Cambria Math" w:hAnsi="Cambria Math" w:cstheme="minorHAnsi"/>
            <w:sz w:val="24"/>
            <w:szCs w:val="24"/>
          </w:rPr>
          <m:t>+</m:t>
        </m:r>
        <m:sSub>
          <m:sSubPr>
            <m:ctrlPr>
              <w:rPr>
                <w:rFonts w:ascii="Cambria Math" w:hAnsi="Cambria Math" w:cstheme="minorHAnsi"/>
                <w:i/>
                <w:sz w:val="24"/>
                <w:szCs w:val="24"/>
              </w:rPr>
            </m:ctrlPr>
          </m:sSubPr>
          <m:e>
            <m:r>
              <m:rPr>
                <m:sty m:val="p"/>
              </m:rPr>
              <w:rPr>
                <w:rFonts w:ascii="Cambria Math" w:hAnsi="Cambria Math" w:cstheme="minorHAnsi"/>
                <w:sz w:val="24"/>
                <w:szCs w:val="24"/>
              </w:rPr>
              <m:t>Փ</m:t>
            </m:r>
          </m:e>
          <m:sub>
            <m:r>
              <w:rPr>
                <w:rFonts w:ascii="Cambria Math" w:hAnsi="Cambria Math" w:cstheme="minorHAnsi"/>
                <w:sz w:val="24"/>
                <w:szCs w:val="24"/>
              </w:rPr>
              <m:t>1,t</m:t>
            </m:r>
          </m:sub>
        </m:sSub>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t-1</m:t>
            </m:r>
          </m:sub>
        </m:sSub>
        <m:r>
          <w:rPr>
            <w:rFonts w:ascii="Cambria Math" w:hAnsi="Cambria Math" w:cstheme="minorHAnsi"/>
            <w:sz w:val="24"/>
            <w:szCs w:val="24"/>
          </w:rPr>
          <m:t>+</m:t>
        </m:r>
        <m:sSub>
          <m:sSubPr>
            <m:ctrlPr>
              <w:rPr>
                <w:rFonts w:ascii="Cambria Math" w:hAnsi="Cambria Math" w:cstheme="minorHAnsi"/>
                <w:i/>
                <w:sz w:val="24"/>
                <w:szCs w:val="24"/>
              </w:rPr>
            </m:ctrlPr>
          </m:sSubPr>
          <m:e>
            <m:r>
              <m:rPr>
                <m:sty m:val="p"/>
              </m:rPr>
              <w:rPr>
                <w:rFonts w:ascii="Cambria Math" w:hAnsi="Cambria Math" w:cstheme="minorHAnsi"/>
                <w:sz w:val="24"/>
                <w:szCs w:val="24"/>
              </w:rPr>
              <m:t>Փ</m:t>
            </m:r>
          </m:e>
          <m:sub>
            <m:r>
              <w:rPr>
                <w:rFonts w:ascii="Cambria Math" w:hAnsi="Cambria Math" w:cstheme="minorHAnsi"/>
                <w:sz w:val="24"/>
                <w:szCs w:val="24"/>
              </w:rPr>
              <m:t>2,t</m:t>
            </m:r>
          </m:sub>
        </m:sSub>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t-2</m:t>
            </m:r>
          </m:sub>
        </m:sSub>
        <m:r>
          <w:rPr>
            <w:rFonts w:ascii="Cambria Math" w:hAnsi="Cambria Math" w:cstheme="minorHAnsi"/>
            <w:sz w:val="24"/>
            <w:szCs w:val="24"/>
          </w:rPr>
          <m:t xml:space="preserve">…+ </m:t>
        </m:r>
        <m:sSub>
          <m:sSubPr>
            <m:ctrlPr>
              <w:rPr>
                <w:rFonts w:ascii="Cambria Math" w:hAnsi="Cambria Math" w:cstheme="minorHAnsi"/>
                <w:i/>
                <w:sz w:val="24"/>
                <w:szCs w:val="24"/>
              </w:rPr>
            </m:ctrlPr>
          </m:sSubPr>
          <m:e>
            <m:r>
              <m:rPr>
                <m:sty m:val="p"/>
              </m:rPr>
              <w:rPr>
                <w:rFonts w:ascii="Cambria Math" w:hAnsi="Cambria Math" w:cstheme="minorHAnsi"/>
                <w:sz w:val="24"/>
                <w:szCs w:val="24"/>
              </w:rPr>
              <m:t>Փ</m:t>
            </m:r>
          </m:e>
          <m:sub>
            <m:r>
              <w:rPr>
                <w:rFonts w:ascii="Cambria Math" w:hAnsi="Cambria Math" w:cstheme="minorHAnsi"/>
                <w:sz w:val="24"/>
                <w:szCs w:val="24"/>
              </w:rPr>
              <m:t>p,t</m:t>
            </m:r>
          </m:sub>
        </m:sSub>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t-p</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ε</m:t>
            </m:r>
          </m:e>
          <m:sub>
            <m:r>
              <w:rPr>
                <w:rFonts w:ascii="Cambria Math" w:hAnsi="Cambria Math" w:cstheme="minorHAnsi"/>
                <w:sz w:val="24"/>
                <w:szCs w:val="24"/>
              </w:rPr>
              <m:t>t</m:t>
            </m:r>
          </m:sub>
        </m:sSub>
        <m:r>
          <w:rPr>
            <w:rFonts w:ascii="Cambria Math" w:hAnsi="Cambria Math" w:cstheme="minorHAnsi"/>
            <w:sz w:val="24"/>
            <w:szCs w:val="24"/>
          </w:rPr>
          <m:t xml:space="preserve"> </m:t>
        </m:r>
        <m:r>
          <m:rPr>
            <m:sty m:val="p"/>
          </m:rPr>
          <w:rPr>
            <w:rFonts w:ascii="Cambria Math" w:hAnsi="Cambria Math" w:cstheme="minorHAnsi"/>
            <w:sz w:val="24"/>
            <w:szCs w:val="24"/>
          </w:rPr>
          <m:t xml:space="preserve">             </m:t>
        </m:r>
        <m:sSub>
          <m:sSubPr>
            <m:ctrlPr>
              <w:rPr>
                <w:rFonts w:ascii="Cambria Math" w:hAnsi="Cambria Math" w:cstheme="minorHAnsi"/>
                <w:i/>
                <w:sz w:val="24"/>
                <w:szCs w:val="24"/>
              </w:rPr>
            </m:ctrlPr>
          </m:sSubPr>
          <m:e>
            <m:r>
              <w:rPr>
                <w:rFonts w:ascii="Cambria Math" w:hAnsi="Cambria Math" w:cstheme="minorHAnsi"/>
                <w:sz w:val="24"/>
                <w:szCs w:val="24"/>
              </w:rPr>
              <m:t>ε</m:t>
            </m:r>
          </m:e>
          <m:sub>
            <m:r>
              <w:rPr>
                <w:rFonts w:ascii="Cambria Math" w:hAnsi="Cambria Math" w:cstheme="minorHAnsi"/>
                <w:sz w:val="24"/>
                <w:szCs w:val="24"/>
              </w:rPr>
              <m:t>t</m:t>
            </m:r>
          </m:sub>
        </m:sSub>
        <m:r>
          <m:rPr>
            <m:scr m:val="script"/>
          </m:rPr>
          <w:rPr>
            <w:rFonts w:ascii="Cambria Math" w:hAnsi="Cambria Math" w:cstheme="minorHAnsi"/>
            <w:sz w:val="24"/>
            <w:szCs w:val="24"/>
          </w:rPr>
          <m:t xml:space="preserve"> ~ N</m:t>
        </m:r>
        <m:r>
          <w:rPr>
            <w:rFonts w:ascii="Cambria Math" w:hAnsi="Cambria Math" w:cstheme="minorHAnsi"/>
            <w:sz w:val="24"/>
            <w:szCs w:val="24"/>
          </w:rPr>
          <m:t>(0,</m:t>
        </m:r>
        <m:sSub>
          <m:sSubPr>
            <m:ctrlPr>
              <w:rPr>
                <w:rFonts w:ascii="Cambria Math" w:hAnsi="Cambria Math" w:cstheme="minorHAnsi"/>
                <w:i/>
                <w:sz w:val="24"/>
                <w:szCs w:val="24"/>
              </w:rPr>
            </m:ctrlPr>
          </m:sSubPr>
          <m:e>
            <m:r>
              <w:rPr>
                <w:rFonts w:ascii="Cambria Math" w:hAnsi="Cambria Math" w:cstheme="minorHAnsi"/>
                <w:sz w:val="24"/>
                <w:szCs w:val="24"/>
              </w:rPr>
              <m:t>∑</m:t>
            </m:r>
          </m:e>
          <m:sub>
            <m:r>
              <w:rPr>
                <w:rFonts w:ascii="Cambria Math" w:hAnsi="Cambria Math" w:cstheme="minorHAnsi"/>
                <w:sz w:val="24"/>
                <w:szCs w:val="24"/>
              </w:rPr>
              <m:t>t</m:t>
            </m:r>
          </m:sub>
        </m:sSub>
        <m:r>
          <m:rPr>
            <m:sty m:val="p"/>
          </m:rPr>
          <w:rPr>
            <w:rFonts w:ascii="Cambria Math" w:hAnsi="Cambria Math" w:cstheme="minorHAnsi"/>
            <w:sz w:val="24"/>
            <w:szCs w:val="24"/>
          </w:rPr>
          <m:t xml:space="preserve">)                </m:t>
        </m:r>
      </m:oMath>
      <w:r w:rsidRPr="002D3320">
        <w:rPr>
          <w:rFonts w:cstheme="minorHAnsi"/>
          <w:sz w:val="24"/>
          <w:szCs w:val="24"/>
        </w:rPr>
        <w:t xml:space="preserve"> (1)</w:t>
      </w:r>
    </w:p>
    <w:p w14:paraId="3FF2A833" w14:textId="77777777" w:rsidR="002D3320" w:rsidRPr="002D3320" w:rsidRDefault="002D3320" w:rsidP="002D3320">
      <w:pPr>
        <w:rPr>
          <w:rFonts w:cstheme="minorHAnsi"/>
          <w:sz w:val="24"/>
          <w:szCs w:val="24"/>
        </w:rPr>
      </w:pPr>
      <w:r w:rsidRPr="002D3320">
        <w:rPr>
          <w:rFonts w:cstheme="minorHAnsi"/>
          <w:sz w:val="24"/>
          <w:szCs w:val="24"/>
        </w:rPr>
        <w:t xml:space="preserve">Le modèle utilise des coefficients VAR variables dans le temps pour transformer le processus en un modèle TVP-VMA, où , représente approximativement les retards infinis pour la prévision. Les coefficients VAR varient dans le temps et le modèle s'exprime sous la forme =Ψ(L), Ψ(L) représentant la matrice polynomiale des retards. L'approximation de ,pour les horizons de prévision h=1,...,H suit la méthode de Chatziantoniou et al. (2021). En utilisant les coefficients TVP-VMA , nous pouvons effectuer une décomposition généralisée de la variance de l'erreur de prévision (GFEVD). Cette méthode permet d'évaluer comment un choc sur la variable </w:t>
      </w:r>
      <w:r w:rsidRPr="002D3320">
        <w:rPr>
          <w:rFonts w:ascii="Cambria Math" w:hAnsi="Cambria Math" w:cs="Cambria Math"/>
          <w:sz w:val="24"/>
          <w:szCs w:val="24"/>
        </w:rPr>
        <w:t>𝑗</w:t>
      </w:r>
      <w:r w:rsidRPr="002D3320">
        <w:rPr>
          <w:rFonts w:cstheme="minorHAnsi"/>
          <w:sz w:val="24"/>
          <w:szCs w:val="24"/>
        </w:rPr>
        <w:t xml:space="preserve"> affecte la variable </w:t>
      </w:r>
      <w:r w:rsidRPr="002D3320">
        <w:rPr>
          <w:rFonts w:ascii="Cambria Math" w:hAnsi="Cambria Math" w:cs="Cambria Math"/>
          <w:sz w:val="24"/>
          <w:szCs w:val="24"/>
        </w:rPr>
        <w:t>𝑖</w:t>
      </w:r>
      <w:r w:rsidRPr="002D3320">
        <w:rPr>
          <w:rFonts w:cstheme="minorHAnsi"/>
          <w:sz w:val="24"/>
          <w:szCs w:val="24"/>
        </w:rPr>
        <w:t>, notamment en ce qui concerne la variance de son erreur de prévision.</w:t>
      </w:r>
    </w:p>
    <w:p w14:paraId="5B2B85C4" w14:textId="77777777" w:rsidR="002D3320" w:rsidRPr="002D3320" w:rsidRDefault="002D3320" w:rsidP="002D3320">
      <w:pPr>
        <w:pStyle w:val="Paragraphedeliste"/>
        <w:ind w:left="360"/>
        <w:jc w:val="right"/>
        <w:rPr>
          <w:rFonts w:asciiTheme="minorHAnsi" w:eastAsiaTheme="minorEastAsia" w:hAnsiTheme="minorHAnsi" w:cstheme="minorHAnsi"/>
          <w:sz w:val="24"/>
          <w:szCs w:val="24"/>
        </w:rPr>
      </w:pP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C</m:t>
            </m:r>
          </m:e>
          <m:sub>
            <m:r>
              <w:rPr>
                <w:rFonts w:ascii="Cambria Math" w:eastAsiaTheme="minorEastAsia" w:hAnsi="Cambria Math" w:cstheme="minorHAnsi"/>
                <w:sz w:val="24"/>
                <w:szCs w:val="24"/>
              </w:rPr>
              <m:t>ijt</m:t>
            </m:r>
          </m:sub>
        </m:sSub>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H</m:t>
            </m:r>
          </m:e>
        </m:d>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sSubSup>
              <m:sSubSupPr>
                <m:ctrlPr>
                  <w:rPr>
                    <w:rFonts w:ascii="Cambria Math" w:eastAsiaTheme="minorEastAsia" w:hAnsi="Cambria Math" w:cstheme="minorHAnsi"/>
                    <w:i/>
                    <w:sz w:val="24"/>
                    <w:szCs w:val="24"/>
                  </w:rPr>
                </m:ctrlPr>
              </m:sSubSupPr>
              <m:e>
                <m:r>
                  <w:rPr>
                    <w:rFonts w:ascii="Cambria Math" w:eastAsiaTheme="minorEastAsia"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m:t>
                    </m:r>
                  </m:e>
                  <m:sub>
                    <m:r>
                      <w:rPr>
                        <w:rFonts w:ascii="Cambria Math" w:hAnsi="Cambria Math" w:cstheme="minorHAnsi"/>
                        <w:sz w:val="24"/>
                        <w:szCs w:val="24"/>
                      </w:rPr>
                      <m:t>t</m:t>
                    </m:r>
                  </m:sub>
                </m:sSub>
                <m:r>
                  <m:rPr>
                    <m:sty m:val="p"/>
                  </m:rPr>
                  <w:rPr>
                    <w:rFonts w:ascii="Cambria Math" w:eastAsiaTheme="minorEastAsia" w:hAnsi="Cambria Math" w:cstheme="minorHAnsi"/>
                    <w:sz w:val="24"/>
                    <w:szCs w:val="24"/>
                  </w:rPr>
                  <m:t xml:space="preserve"> </m:t>
                </m:r>
                <m:r>
                  <w:rPr>
                    <w:rFonts w:ascii="Cambria Math" w:hAnsi="Cambria Math" w:cstheme="minorHAnsi"/>
                    <w:sz w:val="24"/>
                    <w:szCs w:val="24"/>
                  </w:rPr>
                  <m:t>)</m:t>
                </m:r>
              </m:e>
              <m:sub>
                <m:r>
                  <w:rPr>
                    <w:rFonts w:ascii="Cambria Math" w:eastAsiaTheme="minorEastAsia" w:hAnsi="Cambria Math" w:cstheme="minorHAnsi"/>
                    <w:sz w:val="24"/>
                    <w:szCs w:val="24"/>
                  </w:rPr>
                  <m:t>jj</m:t>
                </m:r>
              </m:sub>
              <m:sup>
                <m:r>
                  <w:rPr>
                    <w:rFonts w:ascii="Cambria Math" w:eastAsiaTheme="minorEastAsia" w:hAnsi="Cambria Math" w:cstheme="minorHAnsi"/>
                    <w:sz w:val="24"/>
                    <w:szCs w:val="24"/>
                  </w:rPr>
                  <m:t>-1</m:t>
                </m:r>
              </m:sup>
            </m:sSubSup>
            <m:r>
              <w:rPr>
                <w:rFonts w:ascii="Cambria Math" w:hAnsi="Cambria Math" w:cstheme="minorHAnsi"/>
                <w:sz w:val="24"/>
                <w:szCs w:val="24"/>
              </w:rPr>
              <m:t>∑</m:t>
            </m:r>
            <m:sSubSup>
              <m:sSubSupPr>
                <m:ctrlPr>
                  <w:rPr>
                    <w:rFonts w:ascii="Cambria Math" w:eastAsiaTheme="minorEastAsia" w:hAnsi="Cambria Math" w:cstheme="minorHAnsi"/>
                    <w:i/>
                    <w:sz w:val="24"/>
                    <w:szCs w:val="24"/>
                  </w:rPr>
                </m:ctrlPr>
              </m:sSubSupPr>
              <m:e>
                <m:r>
                  <m:rPr>
                    <m:sty m:val="p"/>
                  </m:rPr>
                  <w:rPr>
                    <w:rFonts w:ascii="Cambria Math" w:eastAsiaTheme="minorEastAsia" w:hAnsi="Cambria Math" w:cstheme="minorHAnsi"/>
                    <w:sz w:val="24"/>
                    <w:szCs w:val="24"/>
                  </w:rPr>
                  <m:t xml:space="preserve"> </m:t>
                </m:r>
              </m:e>
              <m:sub>
                <m:r>
                  <w:rPr>
                    <w:rFonts w:ascii="Cambria Math" w:eastAsiaTheme="minorEastAsia" w:hAnsi="Cambria Math" w:cstheme="minorHAnsi"/>
                    <w:sz w:val="24"/>
                    <w:szCs w:val="24"/>
                  </w:rPr>
                  <m:t>h=0</m:t>
                </m:r>
              </m:sub>
              <m:sup>
                <m:r>
                  <w:rPr>
                    <w:rFonts w:ascii="Cambria Math" w:eastAsiaTheme="minorEastAsia" w:hAnsi="Cambria Math" w:cstheme="minorHAnsi"/>
                    <w:sz w:val="24"/>
                    <w:szCs w:val="24"/>
                  </w:rPr>
                  <m:t>H</m:t>
                </m:r>
              </m:sup>
            </m:sSubSup>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d>
                      <m:dPr>
                        <m:ctrlPr>
                          <w:rPr>
                            <w:rFonts w:ascii="Cambria Math" w:eastAsiaTheme="minorEastAsia" w:hAnsi="Cambria Math" w:cstheme="minorHAnsi"/>
                            <w:i/>
                            <w:sz w:val="24"/>
                            <w:szCs w:val="24"/>
                          </w:rPr>
                        </m:ctrlPr>
                      </m:dPr>
                      <m:e>
                        <m:sSub>
                          <m:sSubPr>
                            <m:ctrlPr>
                              <w:rPr>
                                <w:rFonts w:ascii="Cambria Math" w:eastAsiaTheme="minorEastAsia" w:hAnsi="Cambria Math" w:cstheme="minorHAnsi"/>
                                <w:i/>
                                <w:sz w:val="24"/>
                                <w:szCs w:val="24"/>
                              </w:rPr>
                            </m:ctrlPr>
                          </m:sSubPr>
                          <m:e>
                            <m:r>
                              <m:rPr>
                                <m:sty m:val="p"/>
                              </m:rPr>
                              <w:rPr>
                                <w:rFonts w:ascii="Cambria Math" w:hAnsi="Cambria Math" w:cstheme="minorHAnsi"/>
                                <w:sz w:val="24"/>
                                <w:szCs w:val="24"/>
                              </w:rPr>
                              <m:t>Ψ</m:t>
                            </m:r>
                          </m:e>
                          <m:sub>
                            <m:r>
                              <w:rPr>
                                <w:rFonts w:ascii="Cambria Math" w:eastAsiaTheme="minorEastAsia" w:hAnsi="Cambria Math" w:cstheme="minorHAnsi"/>
                                <w:sz w:val="24"/>
                                <w:szCs w:val="24"/>
                              </w:rPr>
                              <m:t>h</m:t>
                            </m:r>
                          </m:sub>
                        </m:sSub>
                        <m:sSub>
                          <m:sSubPr>
                            <m:ctrlPr>
                              <w:rPr>
                                <w:rFonts w:ascii="Cambria Math" w:hAnsi="Cambria Math" w:cstheme="minorHAnsi"/>
                                <w:i/>
                                <w:sz w:val="24"/>
                                <w:szCs w:val="24"/>
                              </w:rPr>
                            </m:ctrlPr>
                          </m:sSubPr>
                          <m:e>
                            <m:r>
                              <w:rPr>
                                <w:rFonts w:ascii="Cambria Math" w:hAnsi="Cambria Math" w:cstheme="minorHAnsi"/>
                                <w:sz w:val="24"/>
                                <w:szCs w:val="24"/>
                              </w:rPr>
                              <m:t>∑</m:t>
                            </m:r>
                          </m:e>
                          <m:sub>
                            <m:r>
                              <w:rPr>
                                <w:rFonts w:ascii="Cambria Math" w:hAnsi="Cambria Math" w:cstheme="minorHAnsi"/>
                                <w:sz w:val="24"/>
                                <w:szCs w:val="24"/>
                              </w:rPr>
                              <m:t>t</m:t>
                            </m:r>
                          </m:sub>
                        </m:sSub>
                      </m:e>
                    </m:d>
                  </m:e>
                  <m:sub>
                    <m:r>
                      <w:rPr>
                        <w:rFonts w:ascii="Cambria Math" w:eastAsiaTheme="minorEastAsia" w:hAnsi="Cambria Math" w:cstheme="minorHAnsi"/>
                        <w:sz w:val="24"/>
                        <w:szCs w:val="24"/>
                      </w:rPr>
                      <m:t>ijt</m:t>
                    </m:r>
                  </m:sub>
                </m:sSub>
                <m:r>
                  <w:rPr>
                    <w:rFonts w:ascii="Cambria Math" w:eastAsiaTheme="minorEastAsia" w:hAnsi="Cambria Math" w:cstheme="minorHAnsi"/>
                    <w:sz w:val="24"/>
                    <w:szCs w:val="24"/>
                  </w:rPr>
                  <m:t>)</m:t>
                </m:r>
              </m:e>
              <m:sup>
                <m:r>
                  <w:rPr>
                    <w:rFonts w:ascii="Cambria Math" w:eastAsiaTheme="minorEastAsia" w:hAnsi="Cambria Math" w:cstheme="minorHAnsi"/>
                    <w:sz w:val="24"/>
                    <w:szCs w:val="24"/>
                  </w:rPr>
                  <m:t>2</m:t>
                </m:r>
              </m:sup>
            </m:sSup>
          </m:num>
          <m:den>
            <m:r>
              <w:rPr>
                <w:rFonts w:ascii="Cambria Math" w:hAnsi="Cambria Math" w:cstheme="minorHAnsi"/>
                <w:sz w:val="24"/>
                <w:szCs w:val="24"/>
              </w:rPr>
              <m:t>∑</m:t>
            </m:r>
            <m:sSubSup>
              <m:sSubSupPr>
                <m:ctrlPr>
                  <w:rPr>
                    <w:rFonts w:ascii="Cambria Math" w:eastAsiaTheme="minorEastAsia" w:hAnsi="Cambria Math" w:cstheme="minorHAnsi"/>
                    <w:i/>
                    <w:sz w:val="24"/>
                    <w:szCs w:val="24"/>
                  </w:rPr>
                </m:ctrlPr>
              </m:sSubSupPr>
              <m:e>
                <m:r>
                  <m:rPr>
                    <m:sty m:val="p"/>
                  </m:rPr>
                  <w:rPr>
                    <w:rFonts w:ascii="Cambria Math" w:eastAsiaTheme="minorEastAsia" w:hAnsi="Cambria Math" w:cstheme="minorHAnsi"/>
                    <w:sz w:val="24"/>
                    <w:szCs w:val="24"/>
                  </w:rPr>
                  <m:t xml:space="preserve"> </m:t>
                </m:r>
              </m:e>
              <m:sub>
                <m:r>
                  <w:rPr>
                    <w:rFonts w:ascii="Cambria Math" w:eastAsiaTheme="minorEastAsia" w:hAnsi="Cambria Math" w:cstheme="minorHAnsi"/>
                    <w:sz w:val="24"/>
                    <w:szCs w:val="24"/>
                  </w:rPr>
                  <m:t>h=0</m:t>
                </m:r>
              </m:sub>
              <m:sup>
                <m:r>
                  <w:rPr>
                    <w:rFonts w:ascii="Cambria Math" w:eastAsiaTheme="minorEastAsia" w:hAnsi="Cambria Math" w:cstheme="minorHAnsi"/>
                    <w:sz w:val="24"/>
                    <w:szCs w:val="24"/>
                  </w:rPr>
                  <m:t>H</m:t>
                </m:r>
              </m:sup>
            </m:sSubSup>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r>
                      <m:rPr>
                        <m:sty m:val="p"/>
                      </m:rPr>
                      <w:rPr>
                        <w:rFonts w:ascii="Cambria Math" w:hAnsi="Cambria Math" w:cstheme="minorHAnsi"/>
                        <w:sz w:val="24"/>
                        <w:szCs w:val="24"/>
                      </w:rPr>
                      <m:t>Ψ</m:t>
                    </m:r>
                  </m:e>
                  <m:sub>
                    <m:r>
                      <w:rPr>
                        <w:rFonts w:ascii="Cambria Math" w:eastAsiaTheme="minorEastAsia" w:hAnsi="Cambria Math" w:cstheme="minorHAnsi"/>
                        <w:sz w:val="24"/>
                        <w:szCs w:val="24"/>
                      </w:rPr>
                      <m:t>h</m:t>
                    </m:r>
                  </m:sub>
                </m:sSub>
                <m:sSub>
                  <m:sSubPr>
                    <m:ctrlPr>
                      <w:rPr>
                        <w:rFonts w:ascii="Cambria Math" w:hAnsi="Cambria Math" w:cstheme="minorHAnsi"/>
                        <w:i/>
                        <w:sz w:val="24"/>
                        <w:szCs w:val="24"/>
                      </w:rPr>
                    </m:ctrlPr>
                  </m:sSubPr>
                  <m:e>
                    <m:r>
                      <w:rPr>
                        <w:rFonts w:ascii="Cambria Math" w:hAnsi="Cambria Math" w:cstheme="minorHAnsi"/>
                        <w:sz w:val="24"/>
                        <w:szCs w:val="24"/>
                      </w:rPr>
                      <m:t>∑</m:t>
                    </m:r>
                  </m:e>
                  <m:sub>
                    <m:r>
                      <w:rPr>
                        <w:rFonts w:ascii="Cambria Math" w:hAnsi="Cambria Math" w:cstheme="minorHAnsi"/>
                        <w:sz w:val="24"/>
                        <w:szCs w:val="24"/>
                      </w:rPr>
                      <m:t>t</m:t>
                    </m:r>
                  </m:sub>
                </m:sSub>
                <m:sSubSup>
                  <m:sSubSupPr>
                    <m:ctrlPr>
                      <w:rPr>
                        <w:rFonts w:ascii="Cambria Math" w:eastAsiaTheme="minorEastAsia" w:hAnsi="Cambria Math" w:cstheme="minorHAnsi"/>
                        <w:i/>
                        <w:sz w:val="24"/>
                        <w:szCs w:val="24"/>
                      </w:rPr>
                    </m:ctrlPr>
                  </m:sSubSupPr>
                  <m:e>
                    <m:r>
                      <m:rPr>
                        <m:sty m:val="p"/>
                      </m:rPr>
                      <w:rPr>
                        <w:rFonts w:ascii="Cambria Math" w:hAnsi="Cambria Math" w:cstheme="minorHAnsi"/>
                        <w:sz w:val="24"/>
                        <w:szCs w:val="24"/>
                      </w:rPr>
                      <m:t>Ψ</m:t>
                    </m:r>
                  </m:e>
                  <m:sub>
                    <m:r>
                      <w:rPr>
                        <w:rFonts w:ascii="Cambria Math" w:eastAsiaTheme="minorEastAsia" w:hAnsi="Cambria Math" w:cstheme="minorHAnsi"/>
                        <w:sz w:val="24"/>
                        <w:szCs w:val="24"/>
                      </w:rPr>
                      <m:t>h</m:t>
                    </m:r>
                  </m:sub>
                  <m:sup>
                    <m:r>
                      <w:rPr>
                        <w:rFonts w:ascii="Cambria Math" w:eastAsiaTheme="minorEastAsia" w:hAnsi="Cambria Math" w:cstheme="minorHAnsi"/>
                        <w:sz w:val="24"/>
                        <w:szCs w:val="24"/>
                      </w:rPr>
                      <m:t>ʹ</m:t>
                    </m:r>
                  </m:sup>
                </m:sSubSup>
                <m:r>
                  <w:rPr>
                    <w:rFonts w:ascii="Cambria Math" w:eastAsiaTheme="minorEastAsia" w:hAnsi="Cambria Math" w:cstheme="minorHAnsi"/>
                    <w:sz w:val="24"/>
                    <w:szCs w:val="24"/>
                  </w:rPr>
                  <m:t>)</m:t>
                </m:r>
              </m:e>
              <m:sub>
                <m:r>
                  <w:rPr>
                    <w:rFonts w:ascii="Cambria Math" w:eastAsiaTheme="minorEastAsia" w:hAnsi="Cambria Math" w:cstheme="minorHAnsi"/>
                    <w:sz w:val="24"/>
                    <w:szCs w:val="24"/>
                  </w:rPr>
                  <m:t>ii</m:t>
                </m:r>
              </m:sub>
            </m:sSub>
          </m:den>
        </m:f>
      </m:oMath>
      <w:r w:rsidRPr="002D3320">
        <w:rPr>
          <w:rFonts w:asciiTheme="minorHAnsi" w:eastAsiaTheme="minorEastAsia" w:hAnsiTheme="minorHAnsi" w:cstheme="minorHAnsi"/>
          <w:sz w:val="24"/>
          <w:szCs w:val="24"/>
        </w:rPr>
        <w:t xml:space="preserve">                                                (2)</w:t>
      </w:r>
    </w:p>
    <w:p w14:paraId="2FB796DB" w14:textId="77777777" w:rsidR="002D3320" w:rsidRPr="002D3320" w:rsidRDefault="002D3320" w:rsidP="002D3320">
      <w:pPr>
        <w:pStyle w:val="Paragraphedeliste"/>
        <w:ind w:left="360"/>
        <w:jc w:val="right"/>
        <w:rPr>
          <w:rFonts w:asciiTheme="minorHAnsi" w:eastAsiaTheme="minorEastAsia" w:hAnsiTheme="minorHAnsi" w:cstheme="minorHAnsi"/>
          <w:sz w:val="24"/>
          <w:szCs w:val="24"/>
        </w:rPr>
      </w:pPr>
      <m:oMath>
        <m:sSub>
          <m:sSubPr>
            <m:ctrlPr>
              <w:rPr>
                <w:rFonts w:ascii="Cambria Math" w:eastAsiaTheme="minorEastAsia" w:hAnsi="Cambria Math" w:cstheme="minorHAnsi"/>
                <w:i/>
                <w:sz w:val="24"/>
                <w:szCs w:val="24"/>
              </w:rPr>
            </m:ctrlPr>
          </m:sSubPr>
          <m:e>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C</m:t>
                </m:r>
              </m:e>
            </m:acc>
          </m:e>
          <m:sub>
            <m:r>
              <w:rPr>
                <w:rFonts w:ascii="Cambria Math" w:eastAsiaTheme="minorEastAsia" w:hAnsi="Cambria Math" w:cstheme="minorHAnsi"/>
                <w:sz w:val="24"/>
                <w:szCs w:val="24"/>
              </w:rPr>
              <m:t>ijt</m:t>
            </m:r>
          </m:sub>
        </m:sSub>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H</m:t>
            </m:r>
          </m:e>
        </m:d>
        <m:r>
          <w:rPr>
            <w:rFonts w:ascii="Cambria Math" w:eastAsiaTheme="minorEastAsia" w:hAnsi="Cambria Math" w:cstheme="minorHAnsi"/>
            <w:sz w:val="24"/>
            <w:szCs w:val="24"/>
          </w:rPr>
          <m:t xml:space="preserve">= </m:t>
        </m:r>
        <m:f>
          <m:fPr>
            <m:ctrlPr>
              <w:rPr>
                <w:rFonts w:ascii="Cambria Math" w:eastAsiaTheme="minorEastAsia" w:hAnsi="Cambria Math" w:cstheme="minorHAnsi"/>
                <w:i/>
                <w:sz w:val="24"/>
                <w:szCs w:val="24"/>
              </w:rPr>
            </m:ctrlPr>
          </m:fPr>
          <m:num>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C</m:t>
                </m:r>
              </m:e>
              <m:sub>
                <m:r>
                  <w:rPr>
                    <w:rFonts w:ascii="Cambria Math" w:eastAsiaTheme="minorEastAsia" w:hAnsi="Cambria Math" w:cstheme="minorHAnsi"/>
                    <w:sz w:val="24"/>
                    <w:szCs w:val="24"/>
                  </w:rPr>
                  <m:t>ijt</m:t>
                </m:r>
              </m:sub>
            </m:sSub>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H</m:t>
                </m:r>
              </m:e>
            </m:d>
          </m:num>
          <m:den>
            <m:r>
              <w:rPr>
                <w:rFonts w:ascii="Cambria Math" w:hAnsi="Cambria Math" w:cstheme="minorHAnsi"/>
                <w:sz w:val="24"/>
                <w:szCs w:val="24"/>
              </w:rPr>
              <m:t>∑</m:t>
            </m:r>
            <m:sSubSup>
              <m:sSubSupPr>
                <m:ctrlPr>
                  <w:rPr>
                    <w:rFonts w:ascii="Cambria Math" w:eastAsiaTheme="minorEastAsia" w:hAnsi="Cambria Math" w:cstheme="minorHAnsi"/>
                    <w:i/>
                    <w:sz w:val="24"/>
                    <w:szCs w:val="24"/>
                  </w:rPr>
                </m:ctrlPr>
              </m:sSubSupPr>
              <m:e>
                <m:r>
                  <m:rPr>
                    <m:sty m:val="p"/>
                  </m:rPr>
                  <w:rPr>
                    <w:rFonts w:ascii="Cambria Math" w:eastAsiaTheme="minorEastAsia" w:hAnsi="Cambria Math" w:cstheme="minorHAnsi"/>
                    <w:sz w:val="24"/>
                    <w:szCs w:val="24"/>
                  </w:rPr>
                  <m:t xml:space="preserve"> </m:t>
                </m:r>
              </m:e>
              <m:sub>
                <m:r>
                  <w:rPr>
                    <w:rFonts w:ascii="Cambria Math" w:eastAsiaTheme="minorEastAsia" w:hAnsi="Cambria Math" w:cstheme="minorHAnsi"/>
                    <w:sz w:val="24"/>
                    <w:szCs w:val="24"/>
                  </w:rPr>
                  <m:t>k=1</m:t>
                </m:r>
              </m:sub>
              <m:sup>
                <m:r>
                  <w:rPr>
                    <w:rFonts w:ascii="Cambria Math" w:eastAsiaTheme="minorEastAsia" w:hAnsi="Cambria Math" w:cstheme="minorHAnsi"/>
                    <w:sz w:val="24"/>
                    <w:szCs w:val="24"/>
                  </w:rPr>
                  <m:t>N</m:t>
                </m:r>
              </m:sup>
            </m:sSubSup>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C</m:t>
                </m:r>
              </m:e>
              <m:sub>
                <m:r>
                  <w:rPr>
                    <w:rFonts w:ascii="Cambria Math" w:eastAsiaTheme="minorEastAsia" w:hAnsi="Cambria Math" w:cstheme="minorHAnsi"/>
                    <w:sz w:val="24"/>
                    <w:szCs w:val="24"/>
                  </w:rPr>
                  <m:t>ijt</m:t>
                </m:r>
              </m:sub>
            </m:sSub>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H</m:t>
                </m:r>
              </m:e>
            </m:d>
          </m:den>
        </m:f>
      </m:oMath>
      <w:r w:rsidRPr="002D3320">
        <w:rPr>
          <w:rFonts w:asciiTheme="minorHAnsi" w:eastAsiaTheme="minorEastAsia" w:hAnsiTheme="minorHAnsi" w:cstheme="minorHAnsi"/>
          <w:sz w:val="24"/>
          <w:szCs w:val="24"/>
        </w:rPr>
        <w:t xml:space="preserve">                                                                 (3)</w:t>
      </w:r>
    </w:p>
    <w:p w14:paraId="3123238E" w14:textId="77777777" w:rsidR="002D3320" w:rsidRPr="002D3320" w:rsidRDefault="002D3320" w:rsidP="002D3320">
      <w:pPr>
        <w:jc w:val="center"/>
        <w:rPr>
          <w:rFonts w:cstheme="minorHAnsi"/>
          <w:sz w:val="24"/>
          <w:szCs w:val="24"/>
        </w:rPr>
      </w:pPr>
    </w:p>
    <w:p w14:paraId="2C17C9D1" w14:textId="77777777" w:rsidR="002D3320" w:rsidRPr="002D3320" w:rsidRDefault="002D3320" w:rsidP="002D3320">
      <w:pPr>
        <w:jc w:val="center"/>
        <w:rPr>
          <w:rFonts w:cstheme="minorHAnsi"/>
          <w:sz w:val="24"/>
          <w:szCs w:val="24"/>
        </w:rPr>
      </w:pPr>
    </w:p>
    <w:p w14:paraId="27A6187D" w14:textId="77777777" w:rsidR="002D3320" w:rsidRPr="002D3320" w:rsidRDefault="002D3320" w:rsidP="002D3320">
      <w:pPr>
        <w:rPr>
          <w:rFonts w:cstheme="minorHAnsi"/>
          <w:sz w:val="24"/>
          <w:szCs w:val="24"/>
        </w:rPr>
      </w:pPr>
      <w:r w:rsidRPr="002D3320">
        <w:rPr>
          <w:rFonts w:cstheme="minorHAnsi"/>
          <w:color w:val="000000" w:themeColor="text1"/>
          <w:sz w:val="24"/>
          <w:szCs w:val="24"/>
        </w:rPr>
        <w:t xml:space="preserve">Dans ce modèle, les vecteurs </w:t>
      </w:r>
      <w:r w:rsidRPr="002D3320">
        <w:rPr>
          <w:rFonts w:ascii="Cambria Math" w:hAnsi="Cambria Math" w:cs="Cambria Math"/>
          <w:sz w:val="24"/>
          <w:szCs w:val="24"/>
        </w:rPr>
        <w:t>𝒚𝑡</w:t>
      </w:r>
      <w:r w:rsidRPr="002D3320">
        <w:rPr>
          <w:rFonts w:cstheme="minorHAnsi"/>
          <w:sz w:val="24"/>
          <w:szCs w:val="24"/>
        </w:rPr>
        <w:t xml:space="preserve"> et </w:t>
      </w:r>
      <m:oMath>
        <m:sSub>
          <m:sSubPr>
            <m:ctrlPr>
              <w:rPr>
                <w:rFonts w:ascii="Cambria Math" w:hAnsi="Cambria Math" w:cstheme="minorHAnsi"/>
                <w:i/>
                <w:sz w:val="24"/>
                <w:szCs w:val="24"/>
              </w:rPr>
            </m:ctrlPr>
          </m:sSubPr>
          <m:e>
            <m:r>
              <w:rPr>
                <w:rFonts w:ascii="Cambria Math" w:hAnsi="Cambria Math" w:cstheme="minorHAnsi"/>
                <w:sz w:val="24"/>
                <w:szCs w:val="24"/>
              </w:rPr>
              <m:t>ε</m:t>
            </m:r>
          </m:e>
          <m:sub>
            <m:r>
              <w:rPr>
                <w:rFonts w:ascii="Cambria Math" w:hAnsi="Cambria Math" w:cstheme="minorHAnsi"/>
                <w:sz w:val="24"/>
                <w:szCs w:val="24"/>
              </w:rPr>
              <m:t>t</m:t>
            </m:r>
          </m:sub>
        </m:sSub>
      </m:oMath>
      <w:r w:rsidRPr="002D3320">
        <w:rPr>
          <w:rFonts w:cstheme="minorHAnsi"/>
          <w:sz w:val="24"/>
          <w:szCs w:val="24"/>
        </w:rPr>
        <w:t xml:space="preserve">  sont des matrices de dimensions </w:t>
      </w:r>
      <w:r w:rsidRPr="002D3320">
        <w:rPr>
          <w:rFonts w:ascii="Cambria Math" w:hAnsi="Cambria Math" w:cs="Cambria Math"/>
          <w:sz w:val="24"/>
          <w:szCs w:val="24"/>
        </w:rPr>
        <w:t>𝑁</w:t>
      </w:r>
      <w:r w:rsidRPr="002D3320">
        <w:rPr>
          <w:rFonts w:cstheme="minorHAnsi"/>
          <w:sz w:val="24"/>
          <w:szCs w:val="24"/>
        </w:rPr>
        <w:t xml:space="preserve"> × 1 , tandis que </w:t>
      </w:r>
      <m:oMath>
        <m:sSub>
          <m:sSubPr>
            <m:ctrlPr>
              <w:rPr>
                <w:rFonts w:ascii="Cambria Math" w:hAnsi="Cambria Math" w:cstheme="minorHAnsi"/>
                <w:i/>
                <w:sz w:val="24"/>
                <w:szCs w:val="24"/>
              </w:rPr>
            </m:ctrlPr>
          </m:sSubPr>
          <m:e>
            <m:r>
              <w:rPr>
                <w:rFonts w:ascii="Cambria Math" w:hAnsi="Cambria Math" w:cstheme="minorHAnsi"/>
                <w:sz w:val="24"/>
                <w:szCs w:val="24"/>
              </w:rPr>
              <m:t>∑</m:t>
            </m:r>
          </m:e>
          <m:sub>
            <m:r>
              <w:rPr>
                <w:rFonts w:ascii="Cambria Math" w:hAnsi="Cambria Math" w:cstheme="minorHAnsi"/>
                <w:sz w:val="24"/>
                <w:szCs w:val="24"/>
              </w:rPr>
              <m:t>t</m:t>
            </m:r>
          </m:sub>
        </m:sSub>
      </m:oMath>
      <w:r w:rsidRPr="002D3320">
        <w:rPr>
          <w:rFonts w:cstheme="minorHAnsi"/>
          <w:sz w:val="24"/>
          <w:szCs w:val="24"/>
        </w:rPr>
        <w:t xml:space="preserve"> eprésente une matrice de variance-covariance </w:t>
      </w:r>
      <w:r w:rsidRPr="002D3320">
        <w:rPr>
          <w:rFonts w:ascii="Cambria Math" w:hAnsi="Cambria Math" w:cs="Cambria Math"/>
          <w:sz w:val="24"/>
          <w:szCs w:val="24"/>
        </w:rPr>
        <w:t>𝑁</w:t>
      </w:r>
      <w:r w:rsidRPr="002D3320">
        <w:rPr>
          <w:rFonts w:cstheme="minorHAnsi"/>
          <w:sz w:val="24"/>
          <w:szCs w:val="24"/>
        </w:rPr>
        <w:t xml:space="preserve"> × </w:t>
      </w:r>
      <w:r w:rsidRPr="002D3320">
        <w:rPr>
          <w:rFonts w:ascii="Cambria Math" w:hAnsi="Cambria Math" w:cs="Cambria Math"/>
          <w:sz w:val="24"/>
          <w:szCs w:val="24"/>
        </w:rPr>
        <w:t>𝑁</w:t>
      </w:r>
      <w:r w:rsidRPr="002D3320">
        <w:rPr>
          <w:rFonts w:cstheme="minorHAnsi"/>
          <w:sz w:val="24"/>
          <w:szCs w:val="24"/>
        </w:rPr>
        <w:t xml:space="preserve"> qui varie avec le temps. Les coefficients VAR </w:t>
      </w:r>
      <m:oMath>
        <m:sSub>
          <m:sSubPr>
            <m:ctrlPr>
              <w:rPr>
                <w:rFonts w:ascii="Cambria Math" w:hAnsi="Cambria Math" w:cstheme="minorHAnsi"/>
                <w:i/>
                <w:sz w:val="24"/>
                <w:szCs w:val="24"/>
              </w:rPr>
            </m:ctrlPr>
          </m:sSubPr>
          <m:e>
            <m:r>
              <m:rPr>
                <m:sty m:val="p"/>
              </m:rPr>
              <w:rPr>
                <w:rFonts w:ascii="Cambria Math" w:hAnsi="Cambria Math" w:cstheme="minorHAnsi"/>
                <w:sz w:val="24"/>
                <w:szCs w:val="24"/>
              </w:rPr>
              <m:t>Փ</m:t>
            </m:r>
          </m:e>
          <m:sub>
            <m:r>
              <w:rPr>
                <w:rFonts w:ascii="Cambria Math" w:hAnsi="Cambria Math" w:cstheme="minorHAnsi"/>
                <w:sz w:val="24"/>
                <w:szCs w:val="24"/>
              </w:rPr>
              <m:t>i,t</m:t>
            </m:r>
          </m:sub>
        </m:sSub>
      </m:oMath>
      <w:r w:rsidRPr="002D3320">
        <w:rPr>
          <w:rFonts w:cstheme="minorHAnsi"/>
          <w:sz w:val="24"/>
          <w:szCs w:val="24"/>
        </w:rPr>
        <w:t xml:space="preserve">, pour i=1,...,p, sont également des matrices </w:t>
      </w:r>
      <w:r w:rsidRPr="002D3320">
        <w:rPr>
          <w:rFonts w:ascii="Cambria Math" w:hAnsi="Cambria Math" w:cs="Cambria Math"/>
          <w:sz w:val="24"/>
          <w:szCs w:val="24"/>
        </w:rPr>
        <w:t>𝑁</w:t>
      </w:r>
      <w:r w:rsidRPr="002D3320">
        <w:rPr>
          <w:rFonts w:cstheme="minorHAnsi"/>
          <w:sz w:val="24"/>
          <w:szCs w:val="24"/>
        </w:rPr>
        <w:t xml:space="preserve"> × </w:t>
      </w:r>
      <w:r w:rsidRPr="002D3320">
        <w:rPr>
          <w:rFonts w:ascii="Cambria Math" w:hAnsi="Cambria Math" w:cs="Cambria Math"/>
          <w:sz w:val="24"/>
          <w:szCs w:val="24"/>
        </w:rPr>
        <w:t>𝑁</w:t>
      </w:r>
      <w:r w:rsidRPr="002D3320">
        <w:rPr>
          <w:rFonts w:cstheme="minorHAnsi"/>
          <w:sz w:val="24"/>
          <w:szCs w:val="24"/>
        </w:rPr>
        <w:t xml:space="preserve"> dont les valeurs changent au fil du temps</w:t>
      </w:r>
    </w:p>
    <w:p w14:paraId="2A064AC7" w14:textId="77777777" w:rsidR="002D3320" w:rsidRPr="002D3320" w:rsidRDefault="002D3320" w:rsidP="002D3320">
      <w:pPr>
        <w:rPr>
          <w:rFonts w:cstheme="minorHAnsi"/>
          <w:sz w:val="24"/>
          <w:szCs w:val="24"/>
        </w:rPr>
      </w:pPr>
      <w:r w:rsidRPr="002D3320">
        <w:rPr>
          <w:rFonts w:cstheme="minorHAnsi"/>
          <w:sz w:val="24"/>
          <w:szCs w:val="24"/>
        </w:rPr>
        <w:t xml:space="preserve">En utilisant la matrice polynomiale de lag Փ(L)= [ </w:t>
      </w:r>
      <m:oMath>
        <m:sSub>
          <m:sSubPr>
            <m:ctrlPr>
              <w:rPr>
                <w:rFonts w:ascii="Cambria Math" w:hAnsi="Cambria Math" w:cstheme="minorHAnsi"/>
                <w:i/>
                <w:sz w:val="24"/>
                <w:szCs w:val="24"/>
              </w:rPr>
            </m:ctrlPr>
          </m:sSubPr>
          <m:e>
            <m:r>
              <w:rPr>
                <w:rFonts w:ascii="Cambria Math" w:hAnsi="Cambria Math" w:cstheme="minorHAnsi"/>
                <w:sz w:val="24"/>
                <w:szCs w:val="24"/>
              </w:rPr>
              <m:t>I</m:t>
            </m:r>
          </m:e>
          <m:sub>
            <m:r>
              <w:rPr>
                <w:rFonts w:ascii="Cambria Math" w:hAnsi="Cambria Math" w:cstheme="minorHAnsi"/>
                <w:sz w:val="24"/>
                <w:szCs w:val="24"/>
              </w:rPr>
              <m:t>N</m:t>
            </m:r>
          </m:sub>
        </m:sSub>
      </m:oMath>
      <w:r w:rsidRPr="002D3320">
        <w:rPr>
          <w:rFonts w:cstheme="minorHAnsi"/>
          <w:sz w:val="24"/>
          <w:szCs w:val="24"/>
        </w:rPr>
        <w:t xml:space="preserve"> </w:t>
      </w:r>
      <m:oMath>
        <m:r>
          <w:rPr>
            <w:rFonts w:ascii="Cambria Math" w:hAnsi="Cambria Math" w:cstheme="minorHAnsi"/>
            <w:sz w:val="24"/>
            <w:szCs w:val="24"/>
          </w:rPr>
          <m:t>-</m:t>
        </m:r>
      </m:oMath>
      <w:r w:rsidRPr="002D3320">
        <w:rPr>
          <w:rFonts w:cstheme="minorHAnsi"/>
          <w:sz w:val="24"/>
          <w:szCs w:val="24"/>
        </w:rPr>
        <w:t xml:space="preserve"> </w:t>
      </w:r>
      <m:oMath>
        <m:sSub>
          <m:sSubPr>
            <m:ctrlPr>
              <w:rPr>
                <w:rFonts w:ascii="Cambria Math" w:hAnsi="Cambria Math" w:cstheme="minorHAnsi"/>
                <w:i/>
                <w:sz w:val="24"/>
                <w:szCs w:val="24"/>
              </w:rPr>
            </m:ctrlPr>
          </m:sSubPr>
          <m:e>
            <m:r>
              <m:rPr>
                <m:sty m:val="p"/>
              </m:rPr>
              <w:rPr>
                <w:rFonts w:ascii="Cambria Math" w:hAnsi="Cambria Math" w:cstheme="minorHAnsi"/>
                <w:sz w:val="24"/>
                <w:szCs w:val="24"/>
              </w:rPr>
              <m:t>Փ</m:t>
            </m:r>
          </m:e>
          <m:sub>
            <m:r>
              <w:rPr>
                <w:rFonts w:ascii="Cambria Math" w:hAnsi="Cambria Math" w:cstheme="minorHAnsi"/>
                <w:sz w:val="24"/>
                <w:szCs w:val="24"/>
              </w:rPr>
              <m:t>1,t</m:t>
            </m:r>
          </m:sub>
        </m:sSub>
      </m:oMath>
      <w:r w:rsidRPr="002D3320">
        <w:rPr>
          <w:rFonts w:cstheme="minorHAnsi"/>
          <w:sz w:val="24"/>
          <w:szCs w:val="24"/>
        </w:rPr>
        <w:t xml:space="preserve">L </w:t>
      </w:r>
      <m:oMath>
        <m:r>
          <w:rPr>
            <w:rFonts w:ascii="Cambria Math" w:hAnsi="Cambria Math" w:cstheme="minorHAnsi"/>
            <w:sz w:val="24"/>
            <w:szCs w:val="24"/>
          </w:rPr>
          <m:t xml:space="preserve">- … - </m:t>
        </m:r>
        <m:sSub>
          <m:sSubPr>
            <m:ctrlPr>
              <w:rPr>
                <w:rFonts w:ascii="Cambria Math" w:hAnsi="Cambria Math" w:cstheme="minorHAnsi"/>
                <w:i/>
                <w:sz w:val="24"/>
                <w:szCs w:val="24"/>
              </w:rPr>
            </m:ctrlPr>
          </m:sSubPr>
          <m:e>
            <m:r>
              <m:rPr>
                <m:sty m:val="p"/>
              </m:rPr>
              <w:rPr>
                <w:rFonts w:ascii="Cambria Math" w:hAnsi="Cambria Math" w:cstheme="minorHAnsi"/>
                <w:sz w:val="24"/>
                <w:szCs w:val="24"/>
              </w:rPr>
              <m:t>Փ</m:t>
            </m:r>
          </m:e>
          <m:sub>
            <m:r>
              <w:rPr>
                <w:rFonts w:ascii="Cambria Math" w:hAnsi="Cambria Math" w:cstheme="minorHAnsi"/>
                <w:sz w:val="24"/>
                <w:szCs w:val="24"/>
              </w:rPr>
              <m:t>p,t</m:t>
            </m:r>
          </m:sub>
        </m:sSub>
      </m:oMath>
      <w:r w:rsidRPr="002D3320">
        <w:rPr>
          <w:rFonts w:cstheme="minorHAnsi"/>
          <w:sz w:val="24"/>
          <w:szCs w:val="24"/>
        </w:rPr>
        <w:t xml:space="preserve"> </w:t>
      </w:r>
      <m:oMath>
        <m:sSup>
          <m:sSupPr>
            <m:ctrlPr>
              <w:rPr>
                <w:rFonts w:ascii="Cambria Math" w:hAnsi="Cambria Math" w:cstheme="minorHAnsi"/>
                <w:i/>
                <w:sz w:val="24"/>
                <w:szCs w:val="24"/>
              </w:rPr>
            </m:ctrlPr>
          </m:sSupPr>
          <m:e>
            <m:r>
              <w:rPr>
                <w:rFonts w:ascii="Cambria Math" w:hAnsi="Cambria Math" w:cstheme="minorHAnsi"/>
                <w:sz w:val="24"/>
                <w:szCs w:val="24"/>
              </w:rPr>
              <m:t>L</m:t>
            </m:r>
          </m:e>
          <m:sup>
            <m:r>
              <w:rPr>
                <w:rFonts w:ascii="Cambria Math" w:hAnsi="Cambria Math" w:cstheme="minorHAnsi"/>
                <w:sz w:val="24"/>
                <w:szCs w:val="24"/>
              </w:rPr>
              <m:t>p</m:t>
            </m:r>
          </m:sup>
        </m:sSup>
      </m:oMath>
      <w:r w:rsidRPr="002D3320">
        <w:rPr>
          <w:rFonts w:cstheme="minorHAnsi"/>
          <w:sz w:val="24"/>
          <w:szCs w:val="24"/>
        </w:rPr>
        <w:t xml:space="preserve"> ]</w:t>
      </w:r>
      <w:r w:rsidRPr="002D3320">
        <w:rPr>
          <w:rFonts w:cstheme="minorHAnsi"/>
          <w:color w:val="0D0D0D"/>
          <w:sz w:val="24"/>
          <w:szCs w:val="24"/>
          <w:bdr w:val="single" w:sz="2" w:space="0" w:color="E3E3E3" w:frame="1"/>
          <w:shd w:val="clear" w:color="auto" w:fill="FFFFFF"/>
        </w:rPr>
        <w:br/>
      </w:r>
      <w:r w:rsidRPr="002D3320">
        <w:rPr>
          <w:rFonts w:cstheme="minorHAnsi"/>
          <w:color w:val="0D0D0D"/>
          <w:sz w:val="24"/>
          <w:szCs w:val="24"/>
          <w:shd w:val="clear" w:color="auto" w:fill="FFFFFF"/>
        </w:rPr>
        <w:t xml:space="preserve">, nous transformons le processus TVP-VAR en un modèle </w:t>
      </w:r>
      <w:r w:rsidRPr="002D3320">
        <w:rPr>
          <w:rFonts w:cstheme="minorHAnsi"/>
          <w:sz w:val="24"/>
          <w:szCs w:val="24"/>
        </w:rPr>
        <w:t>TVP-VMA(∞)</w:t>
      </w:r>
      <w:r w:rsidRPr="002D3320">
        <w:rPr>
          <w:rFonts w:cstheme="minorHAnsi"/>
          <w:color w:val="0D0D0D"/>
          <w:sz w:val="24"/>
          <w:szCs w:val="24"/>
          <w:shd w:val="clear" w:color="auto" w:fill="FFFFFF"/>
        </w:rPr>
        <w:t xml:space="preserve">: </w:t>
      </w:r>
      <m:oMath>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t</m:t>
            </m:r>
          </m:sub>
        </m:sSub>
      </m:oMath>
      <w:r w:rsidRPr="002D3320">
        <w:rPr>
          <w:rFonts w:cstheme="minorHAnsi"/>
          <w:sz w:val="24"/>
          <w:szCs w:val="24"/>
        </w:rPr>
        <w:t>=Ψ(L)</w:t>
      </w:r>
      <m:oMath>
        <m:r>
          <w:rPr>
            <w:rFonts w:ascii="Cambria Math" w:hAnsi="Cambria Math" w:cstheme="minorHAnsi"/>
            <w:sz w:val="24"/>
            <w:szCs w:val="24"/>
          </w:rPr>
          <m:t xml:space="preserve"> </m:t>
        </m:r>
        <m:sSub>
          <m:sSubPr>
            <m:ctrlPr>
              <w:rPr>
                <w:rFonts w:ascii="Cambria Math" w:hAnsi="Cambria Math" w:cstheme="minorHAnsi"/>
                <w:i/>
                <w:sz w:val="24"/>
                <w:szCs w:val="24"/>
              </w:rPr>
            </m:ctrlPr>
          </m:sSubPr>
          <m:e>
            <m:r>
              <w:rPr>
                <w:rFonts w:ascii="Cambria Math" w:hAnsi="Cambria Math" w:cstheme="minorHAnsi"/>
                <w:sz w:val="24"/>
                <w:szCs w:val="24"/>
              </w:rPr>
              <m:t>ε</m:t>
            </m:r>
          </m:e>
          <m:sub>
            <m:r>
              <w:rPr>
                <w:rFonts w:ascii="Cambria Math" w:hAnsi="Cambria Math" w:cstheme="minorHAnsi"/>
                <w:sz w:val="24"/>
                <w:szCs w:val="24"/>
              </w:rPr>
              <m:t>t</m:t>
            </m:r>
          </m:sub>
        </m:sSub>
      </m:oMath>
      <w:r w:rsidRPr="002D3320">
        <w:rPr>
          <w:rFonts w:cstheme="minorHAnsi"/>
          <w:sz w:val="24"/>
          <w:szCs w:val="24"/>
        </w:rPr>
        <w:t xml:space="preserve">, où Փ(L)= </w:t>
      </w:r>
      <m:oMath>
        <m:sSup>
          <m:sSupPr>
            <m:ctrlPr>
              <w:rPr>
                <w:rFonts w:ascii="Cambria Math" w:hAnsi="Cambria Math" w:cstheme="minorHAnsi"/>
                <w:i/>
                <w:sz w:val="24"/>
                <w:szCs w:val="24"/>
              </w:rPr>
            </m:ctrlPr>
          </m:sSupPr>
          <m:e>
            <m:r>
              <m:rPr>
                <m:sty m:val="p"/>
              </m:rPr>
              <w:rPr>
                <w:rFonts w:ascii="Cambria Math" w:hAnsi="Cambria Math" w:cstheme="minorHAnsi"/>
                <w:sz w:val="24"/>
                <w:szCs w:val="24"/>
              </w:rPr>
              <m:t xml:space="preserve">[Ψ(L)] </m:t>
            </m:r>
          </m:e>
          <m:sup>
            <m:r>
              <w:rPr>
                <w:rFonts w:ascii="Cambria Math" w:hAnsi="Cambria Math" w:cstheme="minorHAnsi"/>
                <w:sz w:val="24"/>
                <w:szCs w:val="24"/>
              </w:rPr>
              <m:t>-1</m:t>
            </m:r>
          </m:sup>
        </m:sSup>
      </m:oMath>
      <w:r w:rsidRPr="002D3320">
        <w:rPr>
          <w:rFonts w:cstheme="minorHAnsi"/>
          <w:sz w:val="24"/>
          <w:szCs w:val="24"/>
        </w:rPr>
        <w:t xml:space="preserve"> .</w:t>
      </w:r>
    </w:p>
    <w:p w14:paraId="4E6F8630" w14:textId="77777777" w:rsidR="002D3320" w:rsidRPr="002D3320" w:rsidRDefault="002D3320" w:rsidP="002D3320">
      <w:pPr>
        <w:rPr>
          <w:rFonts w:cstheme="minorHAnsi"/>
          <w:color w:val="0D0D0D"/>
          <w:sz w:val="24"/>
          <w:szCs w:val="24"/>
          <w:shd w:val="clear" w:color="auto" w:fill="FFFFFF"/>
        </w:rPr>
      </w:pPr>
      <w:r w:rsidRPr="002D3320">
        <w:rPr>
          <w:rFonts w:cstheme="minorHAnsi"/>
          <w:color w:val="0D0D0D"/>
          <w:sz w:val="24"/>
          <w:szCs w:val="24"/>
          <w:shd w:val="clear" w:color="auto" w:fill="FFFFFF"/>
        </w:rPr>
        <w:t xml:space="preserve">L'indicateur de connectivité directionnelle nette entre paires est : </w:t>
      </w:r>
    </w:p>
    <w:p w14:paraId="277BCDBC" w14:textId="77777777" w:rsidR="002D3320" w:rsidRPr="002D3320" w:rsidRDefault="002D3320" w:rsidP="002D3320">
      <w:pPr>
        <w:jc w:val="right"/>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NPDC</m:t>
            </m:r>
          </m:e>
          <m:sub>
            <m:r>
              <w:rPr>
                <w:rFonts w:ascii="Cambria Math" w:hAnsi="Cambria Math" w:cstheme="minorHAnsi"/>
                <w:sz w:val="24"/>
                <w:szCs w:val="24"/>
              </w:rPr>
              <m:t>ijt</m:t>
            </m:r>
          </m:sub>
        </m:sSub>
        <m:d>
          <m:dPr>
            <m:ctrlPr>
              <w:rPr>
                <w:rFonts w:ascii="Cambria Math" w:hAnsi="Cambria Math" w:cstheme="minorHAnsi"/>
                <w:i/>
                <w:sz w:val="24"/>
                <w:szCs w:val="24"/>
              </w:rPr>
            </m:ctrlPr>
          </m:dPr>
          <m:e>
            <m:r>
              <w:rPr>
                <w:rFonts w:ascii="Cambria Math" w:hAnsi="Cambria Math" w:cstheme="minorHAnsi"/>
                <w:sz w:val="24"/>
                <w:szCs w:val="24"/>
              </w:rPr>
              <m:t>d</m:t>
            </m:r>
          </m:e>
        </m:d>
        <m:r>
          <w:rPr>
            <w:rFonts w:ascii="Cambria Math" w:hAnsi="Cambria Math" w:cstheme="minorHAnsi"/>
            <w:sz w:val="24"/>
            <w:szCs w:val="24"/>
          </w:rPr>
          <m:t xml:space="preserve">= </m:t>
        </m:r>
      </m:oMath>
      <w:r w:rsidRPr="002D3320">
        <w:rPr>
          <w:rFonts w:cstheme="minorHAnsi"/>
          <w:sz w:val="24"/>
          <w:szCs w:val="24"/>
        </w:rPr>
        <w:t xml:space="preserve"> </w:t>
      </w:r>
      <m:oMath>
        <m:sSub>
          <m:sSubPr>
            <m:ctrlPr>
              <w:rPr>
                <w:rFonts w:ascii="Cambria Math" w:hAnsi="Cambria Math" w:cstheme="minorHAnsi"/>
                <w:i/>
                <w:sz w:val="24"/>
                <w:szCs w:val="24"/>
              </w:rPr>
            </m:ctrlPr>
          </m:sSubPr>
          <m:e>
            <m:acc>
              <m:accPr>
                <m:chr m:val="̃"/>
                <m:ctrlPr>
                  <w:rPr>
                    <w:rFonts w:ascii="Cambria Math" w:hAnsi="Cambria Math" w:cstheme="minorHAnsi"/>
                    <w:i/>
                    <w:sz w:val="24"/>
                    <w:szCs w:val="24"/>
                  </w:rPr>
                </m:ctrlPr>
              </m:accPr>
              <m:e>
                <m:r>
                  <w:rPr>
                    <w:rFonts w:ascii="Cambria Math" w:hAnsi="Cambria Math" w:cstheme="minorHAnsi"/>
                    <w:sz w:val="24"/>
                    <w:szCs w:val="24"/>
                  </w:rPr>
                  <m:t>C</m:t>
                </m:r>
              </m:e>
            </m:acc>
          </m:e>
          <m:sub>
            <m:r>
              <w:rPr>
                <w:rFonts w:ascii="Cambria Math" w:hAnsi="Cambria Math" w:cstheme="minorHAnsi"/>
                <w:sz w:val="24"/>
                <w:szCs w:val="24"/>
              </w:rPr>
              <m:t>ijt</m:t>
            </m:r>
          </m:sub>
        </m:sSub>
        <m:d>
          <m:dPr>
            <m:ctrlPr>
              <w:rPr>
                <w:rFonts w:ascii="Cambria Math" w:hAnsi="Cambria Math" w:cstheme="minorHAnsi"/>
                <w:i/>
                <w:sz w:val="24"/>
                <w:szCs w:val="24"/>
              </w:rPr>
            </m:ctrlPr>
          </m:dPr>
          <m:e>
            <m:r>
              <w:rPr>
                <w:rFonts w:ascii="Cambria Math" w:hAnsi="Cambria Math" w:cstheme="minorHAnsi"/>
                <w:sz w:val="24"/>
                <w:szCs w:val="24"/>
              </w:rPr>
              <m:t>d</m:t>
            </m:r>
          </m:e>
        </m:d>
        <m:r>
          <w:rPr>
            <w:rFonts w:ascii="Cambria Math" w:hAnsi="Cambria Math" w:cstheme="minorHAnsi"/>
            <w:sz w:val="24"/>
            <w:szCs w:val="24"/>
          </w:rPr>
          <m:t xml:space="preserve"> -</m:t>
        </m:r>
        <m:sSub>
          <m:sSubPr>
            <m:ctrlPr>
              <w:rPr>
                <w:rFonts w:ascii="Cambria Math" w:hAnsi="Cambria Math" w:cstheme="minorHAnsi"/>
                <w:i/>
                <w:sz w:val="24"/>
                <w:szCs w:val="24"/>
              </w:rPr>
            </m:ctrlPr>
          </m:sSubPr>
          <m:e>
            <m:acc>
              <m:accPr>
                <m:chr m:val="̃"/>
                <m:ctrlPr>
                  <w:rPr>
                    <w:rFonts w:ascii="Cambria Math" w:hAnsi="Cambria Math" w:cstheme="minorHAnsi"/>
                    <w:i/>
                    <w:sz w:val="24"/>
                    <w:szCs w:val="24"/>
                  </w:rPr>
                </m:ctrlPr>
              </m:accPr>
              <m:e>
                <m:r>
                  <w:rPr>
                    <w:rFonts w:ascii="Cambria Math" w:hAnsi="Cambria Math" w:cstheme="minorHAnsi"/>
                    <w:sz w:val="24"/>
                    <w:szCs w:val="24"/>
                  </w:rPr>
                  <m:t>C</m:t>
                </m:r>
              </m:e>
            </m:acc>
          </m:e>
          <m:sub>
            <m:r>
              <w:rPr>
                <w:rFonts w:ascii="Cambria Math" w:hAnsi="Cambria Math" w:cstheme="minorHAnsi"/>
                <w:sz w:val="24"/>
                <w:szCs w:val="24"/>
              </w:rPr>
              <m:t>jit</m:t>
            </m:r>
          </m:sub>
        </m:sSub>
        <m:d>
          <m:dPr>
            <m:ctrlPr>
              <w:rPr>
                <w:rFonts w:ascii="Cambria Math" w:hAnsi="Cambria Math" w:cstheme="minorHAnsi"/>
                <w:i/>
                <w:sz w:val="24"/>
                <w:szCs w:val="24"/>
              </w:rPr>
            </m:ctrlPr>
          </m:dPr>
          <m:e>
            <m:r>
              <w:rPr>
                <w:rFonts w:ascii="Cambria Math" w:hAnsi="Cambria Math" w:cstheme="minorHAnsi"/>
                <w:sz w:val="24"/>
                <w:szCs w:val="24"/>
              </w:rPr>
              <m:t>d</m:t>
            </m:r>
          </m:e>
        </m:d>
      </m:oMath>
      <w:r w:rsidRPr="002D3320">
        <w:rPr>
          <w:rFonts w:cstheme="minorHAnsi"/>
          <w:sz w:val="24"/>
          <w:szCs w:val="24"/>
        </w:rPr>
        <w:t xml:space="preserve">                                               (4)</w:t>
      </w:r>
    </w:p>
    <w:p w14:paraId="53906728" w14:textId="77777777" w:rsidR="002D3320" w:rsidRPr="002D3320" w:rsidRDefault="002D3320" w:rsidP="002D3320">
      <w:pPr>
        <w:rPr>
          <w:rFonts w:cstheme="minorHAnsi"/>
          <w:color w:val="0D0D0D"/>
          <w:sz w:val="24"/>
          <w:szCs w:val="24"/>
          <w:shd w:val="clear" w:color="auto" w:fill="FFFFFF"/>
        </w:rPr>
      </w:pPr>
      <w:r w:rsidRPr="002D3320">
        <w:rPr>
          <w:rFonts w:cstheme="minorHAnsi"/>
          <w:color w:val="0D0D0D"/>
          <w:sz w:val="24"/>
          <w:szCs w:val="24"/>
          <w:shd w:val="clear" w:color="auto" w:fill="FFFFFF"/>
        </w:rPr>
        <w:t>L'interconnexion directionnelle complète est donnée par :</w:t>
      </w:r>
    </w:p>
    <w:p w14:paraId="65D25CC5" w14:textId="77777777" w:rsidR="002D3320" w:rsidRPr="002D3320" w:rsidRDefault="002D3320" w:rsidP="002D3320">
      <w:pPr>
        <w:jc w:val="right"/>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TO</m:t>
            </m:r>
          </m:e>
          <m:sub>
            <m:r>
              <w:rPr>
                <w:rFonts w:ascii="Cambria Math" w:hAnsi="Cambria Math" w:cstheme="minorHAnsi"/>
                <w:sz w:val="24"/>
                <w:szCs w:val="24"/>
              </w:rPr>
              <m:t>it</m:t>
            </m:r>
          </m:sub>
        </m:sSub>
        <m:d>
          <m:dPr>
            <m:ctrlPr>
              <w:rPr>
                <w:rFonts w:ascii="Cambria Math" w:hAnsi="Cambria Math" w:cstheme="minorHAnsi"/>
                <w:i/>
                <w:sz w:val="24"/>
                <w:szCs w:val="24"/>
              </w:rPr>
            </m:ctrlPr>
          </m:dPr>
          <m:e>
            <m:r>
              <w:rPr>
                <w:rFonts w:ascii="Cambria Math" w:hAnsi="Cambria Math" w:cstheme="minorHAnsi"/>
                <w:sz w:val="24"/>
                <w:szCs w:val="24"/>
              </w:rPr>
              <m:t>d</m:t>
            </m:r>
          </m:e>
        </m:d>
        <m:r>
          <w:rPr>
            <w:rFonts w:ascii="Cambria Math" w:hAnsi="Cambria Math" w:cstheme="minorHAnsi"/>
            <w:sz w:val="24"/>
            <w:szCs w:val="24"/>
          </w:rPr>
          <m:t>= ∑</m:t>
        </m:r>
        <m:sSubSup>
          <m:sSubSupPr>
            <m:ctrlPr>
              <w:rPr>
                <w:rFonts w:ascii="Cambria Math" w:hAnsi="Cambria Math" w:cstheme="minorHAnsi"/>
                <w:i/>
                <w:sz w:val="24"/>
                <w:szCs w:val="24"/>
              </w:rPr>
            </m:ctrlPr>
          </m:sSubSupPr>
          <m:e>
            <m:r>
              <m:rPr>
                <m:sty m:val="p"/>
              </m:rPr>
              <w:rPr>
                <w:rFonts w:ascii="Cambria Math" w:hAnsi="Cambria Math" w:cstheme="minorHAnsi"/>
                <w:sz w:val="24"/>
                <w:szCs w:val="24"/>
              </w:rPr>
              <m:t xml:space="preserve"> </m:t>
            </m:r>
          </m:e>
          <m:sub>
            <m:r>
              <w:rPr>
                <w:rFonts w:ascii="Cambria Math" w:hAnsi="Cambria Math" w:cstheme="minorHAnsi"/>
                <w:sz w:val="24"/>
                <w:szCs w:val="24"/>
              </w:rPr>
              <m:t>i=1 , i≠j</m:t>
            </m:r>
          </m:sub>
          <m:sup>
            <m:r>
              <w:rPr>
                <w:rFonts w:ascii="Cambria Math" w:hAnsi="Cambria Math" w:cstheme="minorHAnsi"/>
                <w:sz w:val="24"/>
                <w:szCs w:val="24"/>
              </w:rPr>
              <m:t>N</m:t>
            </m:r>
          </m:sup>
        </m:sSubSup>
        <m:r>
          <m:rPr>
            <m:sty m:val="p"/>
          </m:rPr>
          <w:rPr>
            <w:rFonts w:ascii="Cambria Math" w:hAnsi="Cambria Math" w:cstheme="minorHAnsi"/>
            <w:sz w:val="24"/>
            <w:szCs w:val="24"/>
          </w:rPr>
          <m:t xml:space="preserve"> </m:t>
        </m:r>
        <m:sSub>
          <m:sSubPr>
            <m:ctrlPr>
              <w:rPr>
                <w:rFonts w:ascii="Cambria Math" w:hAnsi="Cambria Math" w:cstheme="minorHAnsi"/>
                <w:i/>
                <w:sz w:val="24"/>
                <w:szCs w:val="24"/>
              </w:rPr>
            </m:ctrlPr>
          </m:sSubPr>
          <m:e>
            <m:acc>
              <m:accPr>
                <m:chr m:val="̃"/>
                <m:ctrlPr>
                  <w:rPr>
                    <w:rFonts w:ascii="Cambria Math" w:hAnsi="Cambria Math" w:cstheme="minorHAnsi"/>
                    <w:i/>
                    <w:sz w:val="24"/>
                    <w:szCs w:val="24"/>
                  </w:rPr>
                </m:ctrlPr>
              </m:accPr>
              <m:e>
                <m:r>
                  <w:rPr>
                    <w:rFonts w:ascii="Cambria Math" w:hAnsi="Cambria Math" w:cstheme="minorHAnsi"/>
                    <w:sz w:val="24"/>
                    <w:szCs w:val="24"/>
                  </w:rPr>
                  <m:t>C</m:t>
                </m:r>
              </m:e>
            </m:acc>
          </m:e>
          <m:sub>
            <m:r>
              <w:rPr>
                <w:rFonts w:ascii="Cambria Math" w:hAnsi="Cambria Math" w:cstheme="minorHAnsi"/>
                <w:sz w:val="24"/>
                <w:szCs w:val="24"/>
              </w:rPr>
              <m:t>jit</m:t>
            </m:r>
          </m:sub>
        </m:sSub>
        <m:d>
          <m:dPr>
            <m:ctrlPr>
              <w:rPr>
                <w:rFonts w:ascii="Cambria Math" w:hAnsi="Cambria Math" w:cstheme="minorHAnsi"/>
                <w:i/>
                <w:sz w:val="24"/>
                <w:szCs w:val="24"/>
              </w:rPr>
            </m:ctrlPr>
          </m:dPr>
          <m:e>
            <m:r>
              <w:rPr>
                <w:rFonts w:ascii="Cambria Math" w:hAnsi="Cambria Math" w:cstheme="minorHAnsi"/>
                <w:sz w:val="24"/>
                <w:szCs w:val="24"/>
              </w:rPr>
              <m:t>d</m:t>
            </m:r>
          </m:e>
        </m:d>
      </m:oMath>
      <w:r w:rsidRPr="002D3320">
        <w:rPr>
          <w:rFonts w:cstheme="minorHAnsi"/>
          <w:sz w:val="24"/>
          <w:szCs w:val="24"/>
        </w:rPr>
        <w:t xml:space="preserve">                                                          (5)</w:t>
      </w:r>
    </w:p>
    <w:p w14:paraId="523DD957" w14:textId="77777777" w:rsidR="002D3320" w:rsidRPr="002D3320" w:rsidRDefault="002D3320" w:rsidP="002D3320">
      <w:pPr>
        <w:jc w:val="right"/>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FROM</m:t>
            </m:r>
          </m:e>
          <m:sub>
            <m:r>
              <w:rPr>
                <w:rFonts w:ascii="Cambria Math" w:hAnsi="Cambria Math" w:cstheme="minorHAnsi"/>
                <w:sz w:val="24"/>
                <w:szCs w:val="24"/>
              </w:rPr>
              <m:t>it</m:t>
            </m:r>
          </m:sub>
        </m:sSub>
        <m:d>
          <m:dPr>
            <m:ctrlPr>
              <w:rPr>
                <w:rFonts w:ascii="Cambria Math" w:hAnsi="Cambria Math" w:cstheme="minorHAnsi"/>
                <w:i/>
                <w:sz w:val="24"/>
                <w:szCs w:val="24"/>
              </w:rPr>
            </m:ctrlPr>
          </m:dPr>
          <m:e>
            <m:r>
              <w:rPr>
                <w:rFonts w:ascii="Cambria Math" w:hAnsi="Cambria Math" w:cstheme="minorHAnsi"/>
                <w:sz w:val="24"/>
                <w:szCs w:val="24"/>
              </w:rPr>
              <m:t>d</m:t>
            </m:r>
          </m:e>
        </m:d>
        <m:r>
          <w:rPr>
            <w:rFonts w:ascii="Cambria Math" w:hAnsi="Cambria Math" w:cstheme="minorHAnsi"/>
            <w:sz w:val="24"/>
            <w:szCs w:val="24"/>
          </w:rPr>
          <m:t>= ∑</m:t>
        </m:r>
        <m:sSubSup>
          <m:sSubSupPr>
            <m:ctrlPr>
              <w:rPr>
                <w:rFonts w:ascii="Cambria Math" w:hAnsi="Cambria Math" w:cstheme="minorHAnsi"/>
                <w:i/>
                <w:sz w:val="24"/>
                <w:szCs w:val="24"/>
              </w:rPr>
            </m:ctrlPr>
          </m:sSubSupPr>
          <m:e>
            <m:r>
              <m:rPr>
                <m:sty m:val="p"/>
              </m:rPr>
              <w:rPr>
                <w:rFonts w:ascii="Cambria Math" w:hAnsi="Cambria Math" w:cstheme="minorHAnsi"/>
                <w:sz w:val="24"/>
                <w:szCs w:val="24"/>
              </w:rPr>
              <m:t xml:space="preserve"> </m:t>
            </m:r>
          </m:e>
          <m:sub>
            <m:r>
              <w:rPr>
                <w:rFonts w:ascii="Cambria Math" w:hAnsi="Cambria Math" w:cstheme="minorHAnsi"/>
                <w:sz w:val="24"/>
                <w:szCs w:val="24"/>
              </w:rPr>
              <m:t>j=1 , i≠j</m:t>
            </m:r>
          </m:sub>
          <m:sup>
            <m:r>
              <w:rPr>
                <w:rFonts w:ascii="Cambria Math" w:hAnsi="Cambria Math" w:cstheme="minorHAnsi"/>
                <w:sz w:val="24"/>
                <w:szCs w:val="24"/>
              </w:rPr>
              <m:t>N</m:t>
            </m:r>
          </m:sup>
        </m:sSubSup>
        <m:r>
          <m:rPr>
            <m:sty m:val="p"/>
          </m:rPr>
          <w:rPr>
            <w:rFonts w:ascii="Cambria Math" w:hAnsi="Cambria Math" w:cstheme="minorHAnsi"/>
            <w:sz w:val="24"/>
            <w:szCs w:val="24"/>
          </w:rPr>
          <m:t xml:space="preserve"> </m:t>
        </m:r>
        <m:sSub>
          <m:sSubPr>
            <m:ctrlPr>
              <w:rPr>
                <w:rFonts w:ascii="Cambria Math" w:hAnsi="Cambria Math" w:cstheme="minorHAnsi"/>
                <w:i/>
                <w:sz w:val="24"/>
                <w:szCs w:val="24"/>
              </w:rPr>
            </m:ctrlPr>
          </m:sSubPr>
          <m:e>
            <m:acc>
              <m:accPr>
                <m:chr m:val="̃"/>
                <m:ctrlPr>
                  <w:rPr>
                    <w:rFonts w:ascii="Cambria Math" w:hAnsi="Cambria Math" w:cstheme="minorHAnsi"/>
                    <w:i/>
                    <w:sz w:val="24"/>
                    <w:szCs w:val="24"/>
                  </w:rPr>
                </m:ctrlPr>
              </m:accPr>
              <m:e>
                <m:r>
                  <w:rPr>
                    <w:rFonts w:ascii="Cambria Math" w:hAnsi="Cambria Math" w:cstheme="minorHAnsi"/>
                    <w:sz w:val="24"/>
                    <w:szCs w:val="24"/>
                  </w:rPr>
                  <m:t>C</m:t>
                </m:r>
              </m:e>
            </m:acc>
          </m:e>
          <m:sub>
            <m:r>
              <w:rPr>
                <w:rFonts w:ascii="Cambria Math" w:hAnsi="Cambria Math" w:cstheme="minorHAnsi"/>
                <w:sz w:val="24"/>
                <w:szCs w:val="24"/>
              </w:rPr>
              <m:t>ijt</m:t>
            </m:r>
          </m:sub>
        </m:sSub>
        <m:d>
          <m:dPr>
            <m:ctrlPr>
              <w:rPr>
                <w:rFonts w:ascii="Cambria Math" w:hAnsi="Cambria Math" w:cstheme="minorHAnsi"/>
                <w:i/>
                <w:sz w:val="24"/>
                <w:szCs w:val="24"/>
              </w:rPr>
            </m:ctrlPr>
          </m:dPr>
          <m:e>
            <m:r>
              <w:rPr>
                <w:rFonts w:ascii="Cambria Math" w:hAnsi="Cambria Math" w:cstheme="minorHAnsi"/>
                <w:sz w:val="24"/>
                <w:szCs w:val="24"/>
              </w:rPr>
              <m:t>d</m:t>
            </m:r>
          </m:e>
        </m:d>
      </m:oMath>
      <w:r w:rsidRPr="002D3320">
        <w:rPr>
          <w:rFonts w:cstheme="minorHAnsi"/>
          <w:sz w:val="24"/>
          <w:szCs w:val="24"/>
        </w:rPr>
        <w:t xml:space="preserve">                                                   (6)</w:t>
      </w:r>
    </w:p>
    <w:p w14:paraId="29C7CE66" w14:textId="77777777" w:rsidR="002D3320" w:rsidRPr="002D3320" w:rsidRDefault="002D3320" w:rsidP="002D3320">
      <w:pPr>
        <w:jc w:val="right"/>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NET</m:t>
            </m:r>
          </m:e>
          <m:sub>
            <m:r>
              <w:rPr>
                <w:rFonts w:ascii="Cambria Math" w:hAnsi="Cambria Math" w:cstheme="minorHAnsi"/>
                <w:sz w:val="24"/>
                <w:szCs w:val="24"/>
              </w:rPr>
              <m:t>it</m:t>
            </m:r>
          </m:sub>
        </m:sSub>
        <m:d>
          <m:dPr>
            <m:ctrlPr>
              <w:rPr>
                <w:rFonts w:ascii="Cambria Math" w:hAnsi="Cambria Math" w:cstheme="minorHAnsi"/>
                <w:i/>
                <w:sz w:val="24"/>
                <w:szCs w:val="24"/>
              </w:rPr>
            </m:ctrlPr>
          </m:dPr>
          <m:e>
            <m:r>
              <w:rPr>
                <w:rFonts w:ascii="Cambria Math" w:hAnsi="Cambria Math" w:cstheme="minorHAnsi"/>
                <w:sz w:val="24"/>
                <w:szCs w:val="24"/>
              </w:rPr>
              <m:t>d</m:t>
            </m:r>
          </m:e>
        </m:d>
        <m:r>
          <w:rPr>
            <w:rFonts w:ascii="Cambria Math" w:hAnsi="Cambria Math" w:cstheme="minorHAnsi"/>
            <w:sz w:val="24"/>
            <w:szCs w:val="24"/>
          </w:rPr>
          <m:t>=</m:t>
        </m:r>
      </m:oMath>
      <w:r w:rsidRPr="002D3320">
        <w:rPr>
          <w:rFonts w:cstheme="minorHAnsi"/>
          <w:sz w:val="24"/>
          <w:szCs w:val="24"/>
        </w:rPr>
        <w:t xml:space="preserve">    </w:t>
      </w:r>
      <m:oMath>
        <m:sSub>
          <m:sSubPr>
            <m:ctrlPr>
              <w:rPr>
                <w:rFonts w:ascii="Cambria Math" w:hAnsi="Cambria Math" w:cstheme="minorHAnsi"/>
                <w:i/>
                <w:sz w:val="24"/>
                <w:szCs w:val="24"/>
              </w:rPr>
            </m:ctrlPr>
          </m:sSubPr>
          <m:e>
            <m:r>
              <w:rPr>
                <w:rFonts w:ascii="Cambria Math" w:hAnsi="Cambria Math" w:cstheme="minorHAnsi"/>
                <w:sz w:val="24"/>
                <w:szCs w:val="24"/>
              </w:rPr>
              <m:t>TO</m:t>
            </m:r>
          </m:e>
          <m:sub>
            <m:r>
              <w:rPr>
                <w:rFonts w:ascii="Cambria Math" w:hAnsi="Cambria Math" w:cstheme="minorHAnsi"/>
                <w:sz w:val="24"/>
                <w:szCs w:val="24"/>
              </w:rPr>
              <m:t>it</m:t>
            </m:r>
          </m:sub>
        </m:sSub>
        <m:d>
          <m:dPr>
            <m:ctrlPr>
              <w:rPr>
                <w:rFonts w:ascii="Cambria Math" w:hAnsi="Cambria Math" w:cstheme="minorHAnsi"/>
                <w:i/>
                <w:sz w:val="24"/>
                <w:szCs w:val="24"/>
              </w:rPr>
            </m:ctrlPr>
          </m:dPr>
          <m:e>
            <m:r>
              <w:rPr>
                <w:rFonts w:ascii="Cambria Math" w:hAnsi="Cambria Math" w:cstheme="minorHAnsi"/>
                <w:sz w:val="24"/>
                <w:szCs w:val="24"/>
              </w:rPr>
              <m:t>d</m:t>
            </m:r>
          </m:e>
        </m:d>
        <m:r>
          <w:rPr>
            <w:rFonts w:ascii="Cambria Math" w:hAnsi="Cambria Math" w:cstheme="minorHAnsi"/>
            <w:sz w:val="24"/>
            <w:szCs w:val="24"/>
          </w:rPr>
          <m:t xml:space="preserve"> </m:t>
        </m:r>
      </m:oMath>
      <w:r w:rsidRPr="002D3320">
        <w:rPr>
          <w:rFonts w:cstheme="minorHAnsi"/>
          <w:sz w:val="24"/>
          <w:szCs w:val="24"/>
        </w:rPr>
        <w:t xml:space="preserve"> </w:t>
      </w:r>
      <m:oMath>
        <m:r>
          <w:rPr>
            <w:rFonts w:ascii="Cambria Math" w:hAnsi="Cambria Math" w:cstheme="minorHAnsi"/>
            <w:sz w:val="24"/>
            <w:szCs w:val="24"/>
          </w:rPr>
          <m:t>-</m:t>
        </m:r>
      </m:oMath>
      <w:r w:rsidRPr="002D3320">
        <w:rPr>
          <w:rFonts w:cstheme="minorHAnsi"/>
          <w:sz w:val="24"/>
          <w:szCs w:val="24"/>
        </w:rPr>
        <w:t xml:space="preserve"> </w:t>
      </w:r>
      <m:oMath>
        <m:sSub>
          <m:sSubPr>
            <m:ctrlPr>
              <w:rPr>
                <w:rFonts w:ascii="Cambria Math" w:hAnsi="Cambria Math" w:cstheme="minorHAnsi"/>
                <w:i/>
                <w:sz w:val="24"/>
                <w:szCs w:val="24"/>
              </w:rPr>
            </m:ctrlPr>
          </m:sSubPr>
          <m:e>
            <m:r>
              <w:rPr>
                <w:rFonts w:ascii="Cambria Math" w:hAnsi="Cambria Math" w:cstheme="minorHAnsi"/>
                <w:sz w:val="24"/>
                <w:szCs w:val="24"/>
              </w:rPr>
              <m:t>FROM</m:t>
            </m:r>
          </m:e>
          <m:sub>
            <m:r>
              <w:rPr>
                <w:rFonts w:ascii="Cambria Math" w:hAnsi="Cambria Math" w:cstheme="minorHAnsi"/>
                <w:sz w:val="24"/>
                <w:szCs w:val="24"/>
              </w:rPr>
              <m:t>it</m:t>
            </m:r>
          </m:sub>
        </m:sSub>
        <m:d>
          <m:dPr>
            <m:ctrlPr>
              <w:rPr>
                <w:rFonts w:ascii="Cambria Math" w:hAnsi="Cambria Math" w:cstheme="minorHAnsi"/>
                <w:i/>
                <w:sz w:val="24"/>
                <w:szCs w:val="24"/>
              </w:rPr>
            </m:ctrlPr>
          </m:dPr>
          <m:e>
            <m:r>
              <w:rPr>
                <w:rFonts w:ascii="Cambria Math" w:hAnsi="Cambria Math" w:cstheme="minorHAnsi"/>
                <w:sz w:val="24"/>
                <w:szCs w:val="24"/>
              </w:rPr>
              <m:t>d</m:t>
            </m:r>
          </m:e>
        </m:d>
      </m:oMath>
      <w:r w:rsidRPr="002D3320">
        <w:rPr>
          <w:rFonts w:cstheme="minorHAnsi"/>
          <w:sz w:val="24"/>
          <w:szCs w:val="24"/>
        </w:rPr>
        <w:t xml:space="preserve">                                          (7)</w:t>
      </w:r>
    </w:p>
    <w:p w14:paraId="7145F931" w14:textId="77777777" w:rsidR="002D3320" w:rsidRPr="002D3320" w:rsidRDefault="002D3320" w:rsidP="002D3320">
      <w:pPr>
        <w:rPr>
          <w:rFonts w:cstheme="minorHAnsi"/>
          <w:color w:val="0D0D0D"/>
          <w:sz w:val="24"/>
          <w:szCs w:val="24"/>
          <w:shd w:val="clear" w:color="auto" w:fill="FFFFFF"/>
        </w:rPr>
      </w:pPr>
      <w:r w:rsidRPr="002D3320">
        <w:rPr>
          <w:rFonts w:cstheme="minorHAnsi"/>
          <w:color w:val="0D0D0D"/>
          <w:sz w:val="24"/>
          <w:szCs w:val="24"/>
          <w:shd w:val="clear" w:color="auto" w:fill="FFFFFF"/>
        </w:rPr>
        <w:t>Enfin, l'indicateur global de connectivité moyenne est :</w:t>
      </w:r>
    </w:p>
    <w:p w14:paraId="2475BA59" w14:textId="77777777" w:rsidR="002D3320" w:rsidRPr="002D3320" w:rsidRDefault="002D3320" w:rsidP="002D3320">
      <w:pPr>
        <w:jc w:val="center"/>
        <w:rPr>
          <w:rFonts w:cstheme="minorHAnsi"/>
          <w:color w:val="0D0D0D"/>
          <w:sz w:val="24"/>
          <w:szCs w:val="24"/>
          <w:shd w:val="clear" w:color="auto" w:fill="FFFFFF"/>
        </w:rPr>
      </w:pPr>
      <m:oMath>
        <m:sSub>
          <m:sSubPr>
            <m:ctrlPr>
              <w:rPr>
                <w:rFonts w:ascii="Cambria Math" w:hAnsi="Cambria Math" w:cstheme="minorHAnsi"/>
                <w:i/>
                <w:sz w:val="24"/>
                <w:szCs w:val="24"/>
              </w:rPr>
            </m:ctrlPr>
          </m:sSubPr>
          <m:e>
            <m:r>
              <w:rPr>
                <w:rFonts w:ascii="Cambria Math" w:hAnsi="Cambria Math" w:cstheme="minorHAnsi"/>
                <w:sz w:val="24"/>
                <w:szCs w:val="24"/>
              </w:rPr>
              <m:t>TACI</m:t>
            </m:r>
          </m:e>
          <m:sub>
            <m:r>
              <w:rPr>
                <w:rFonts w:ascii="Cambria Math" w:hAnsi="Cambria Math" w:cstheme="minorHAnsi"/>
                <w:sz w:val="24"/>
                <w:szCs w:val="24"/>
              </w:rPr>
              <m:t>t</m:t>
            </m:r>
          </m:sub>
        </m:sSub>
        <m:d>
          <m:dPr>
            <m:ctrlPr>
              <w:rPr>
                <w:rFonts w:ascii="Cambria Math" w:hAnsi="Cambria Math" w:cstheme="minorHAnsi"/>
                <w:i/>
                <w:sz w:val="24"/>
                <w:szCs w:val="24"/>
              </w:rPr>
            </m:ctrlPr>
          </m:dPr>
          <m:e>
            <m:r>
              <w:rPr>
                <w:rFonts w:ascii="Cambria Math" w:hAnsi="Cambria Math" w:cstheme="minorHAnsi"/>
                <w:sz w:val="24"/>
                <w:szCs w:val="24"/>
              </w:rPr>
              <m:t>d</m:t>
            </m:r>
          </m:e>
        </m:d>
        <m:r>
          <w:rPr>
            <w:rFonts w:ascii="Cambria Math" w:hAnsi="Cambria Math" w:cstheme="minorHAnsi"/>
            <w:sz w:val="24"/>
            <w:szCs w:val="24"/>
          </w:rPr>
          <m:t xml:space="preserve">= </m:t>
        </m:r>
        <m:sSup>
          <m:sSupPr>
            <m:ctrlPr>
              <w:rPr>
                <w:rFonts w:ascii="Cambria Math" w:hAnsi="Cambria Math" w:cstheme="minorHAnsi"/>
                <w:i/>
                <w:sz w:val="24"/>
                <w:szCs w:val="24"/>
              </w:rPr>
            </m:ctrlPr>
          </m:sSupPr>
          <m:e>
            <m:r>
              <w:rPr>
                <w:rFonts w:ascii="Cambria Math" w:hAnsi="Cambria Math" w:cstheme="minorHAnsi"/>
                <w:sz w:val="24"/>
                <w:szCs w:val="24"/>
              </w:rPr>
              <m:t>N</m:t>
            </m:r>
          </m:e>
          <m:sup>
            <m:r>
              <w:rPr>
                <w:rFonts w:ascii="Cambria Math" w:hAnsi="Cambria Math" w:cstheme="minorHAnsi"/>
                <w:sz w:val="24"/>
                <w:szCs w:val="24"/>
              </w:rPr>
              <m:t>-1</m:t>
            </m:r>
          </m:sup>
        </m:sSup>
      </m:oMath>
      <w:r w:rsidRPr="002D3320">
        <w:rPr>
          <w:rFonts w:cstheme="minorHAnsi"/>
          <w:sz w:val="24"/>
          <w:szCs w:val="24"/>
        </w:rPr>
        <w:t xml:space="preserve"> </w:t>
      </w:r>
      <m:oMath>
        <m:r>
          <w:rPr>
            <w:rFonts w:ascii="Cambria Math" w:hAnsi="Cambria Math" w:cstheme="minorHAnsi"/>
            <w:sz w:val="24"/>
            <w:szCs w:val="24"/>
          </w:rPr>
          <m:t>∑</m:t>
        </m:r>
        <m:sSubSup>
          <m:sSubSupPr>
            <m:ctrlPr>
              <w:rPr>
                <w:rFonts w:ascii="Cambria Math" w:hAnsi="Cambria Math" w:cstheme="minorHAnsi"/>
                <w:i/>
                <w:sz w:val="24"/>
                <w:szCs w:val="24"/>
              </w:rPr>
            </m:ctrlPr>
          </m:sSubSupPr>
          <m:e>
            <m:r>
              <m:rPr>
                <m:sty m:val="p"/>
              </m:rPr>
              <w:rPr>
                <w:rFonts w:ascii="Cambria Math" w:hAnsi="Cambria Math" w:cstheme="minorHAnsi"/>
                <w:sz w:val="24"/>
                <w:szCs w:val="24"/>
              </w:rPr>
              <m:t xml:space="preserve"> </m:t>
            </m:r>
          </m:e>
          <m:sub>
            <m:r>
              <w:rPr>
                <w:rFonts w:ascii="Cambria Math" w:hAnsi="Cambria Math" w:cstheme="minorHAnsi"/>
                <w:sz w:val="24"/>
                <w:szCs w:val="24"/>
              </w:rPr>
              <m:t>i=1</m:t>
            </m:r>
          </m:sub>
          <m:sup>
            <m:r>
              <w:rPr>
                <w:rFonts w:ascii="Cambria Math" w:hAnsi="Cambria Math" w:cstheme="minorHAnsi"/>
                <w:sz w:val="24"/>
                <w:szCs w:val="24"/>
              </w:rPr>
              <m:t>N</m:t>
            </m:r>
          </m:sup>
        </m:sSubSup>
        <m:sSub>
          <m:sSubPr>
            <m:ctrlPr>
              <w:rPr>
                <w:rFonts w:ascii="Cambria Math" w:hAnsi="Cambria Math" w:cstheme="minorHAnsi"/>
                <w:i/>
                <w:sz w:val="24"/>
                <w:szCs w:val="24"/>
              </w:rPr>
            </m:ctrlPr>
          </m:sSubPr>
          <m:e>
            <m:r>
              <w:rPr>
                <w:rFonts w:ascii="Cambria Math" w:hAnsi="Cambria Math" w:cstheme="minorHAnsi"/>
                <w:sz w:val="24"/>
                <w:szCs w:val="24"/>
              </w:rPr>
              <m:t xml:space="preserve">                 TO</m:t>
            </m:r>
          </m:e>
          <m:sub>
            <m:r>
              <w:rPr>
                <w:rFonts w:ascii="Cambria Math" w:hAnsi="Cambria Math" w:cstheme="minorHAnsi"/>
                <w:sz w:val="24"/>
                <w:szCs w:val="24"/>
              </w:rPr>
              <m:t>it</m:t>
            </m:r>
          </m:sub>
        </m:sSub>
        <m:d>
          <m:dPr>
            <m:ctrlPr>
              <w:rPr>
                <w:rFonts w:ascii="Cambria Math" w:hAnsi="Cambria Math" w:cstheme="minorHAnsi"/>
                <w:i/>
                <w:sz w:val="24"/>
                <w:szCs w:val="24"/>
              </w:rPr>
            </m:ctrlPr>
          </m:dPr>
          <m:e>
            <m:r>
              <w:rPr>
                <w:rFonts w:ascii="Cambria Math" w:hAnsi="Cambria Math" w:cstheme="minorHAnsi"/>
                <w:sz w:val="24"/>
                <w:szCs w:val="24"/>
              </w:rPr>
              <m:t>d</m:t>
            </m:r>
          </m:e>
        </m:d>
        <m:r>
          <w:rPr>
            <w:rFonts w:ascii="Cambria Math" w:hAnsi="Cambria Math" w:cstheme="minorHAnsi"/>
            <w:sz w:val="24"/>
            <w:szCs w:val="24"/>
          </w:rPr>
          <m:t xml:space="preserve"> </m:t>
        </m:r>
      </m:oMath>
      <w:r w:rsidRPr="002D3320">
        <w:rPr>
          <w:rFonts w:cstheme="minorHAnsi"/>
          <w:sz w:val="24"/>
          <w:szCs w:val="24"/>
        </w:rPr>
        <w:t xml:space="preserve"> = </w:t>
      </w:r>
      <m:oMath>
        <m:sSup>
          <m:sSupPr>
            <m:ctrlPr>
              <w:rPr>
                <w:rFonts w:ascii="Cambria Math" w:hAnsi="Cambria Math" w:cstheme="minorHAnsi"/>
                <w:i/>
                <w:sz w:val="24"/>
                <w:szCs w:val="24"/>
              </w:rPr>
            </m:ctrlPr>
          </m:sSupPr>
          <m:e>
            <m:r>
              <w:rPr>
                <w:rFonts w:ascii="Cambria Math" w:hAnsi="Cambria Math" w:cstheme="minorHAnsi"/>
                <w:sz w:val="24"/>
                <w:szCs w:val="24"/>
              </w:rPr>
              <m:t>N</m:t>
            </m:r>
          </m:e>
          <m:sup>
            <m:r>
              <w:rPr>
                <w:rFonts w:ascii="Cambria Math" w:hAnsi="Cambria Math" w:cstheme="minorHAnsi"/>
                <w:sz w:val="24"/>
                <w:szCs w:val="24"/>
              </w:rPr>
              <m:t>-1</m:t>
            </m:r>
          </m:sup>
        </m:sSup>
        <m:r>
          <w:rPr>
            <w:rFonts w:ascii="Cambria Math" w:hAnsi="Cambria Math" w:cstheme="minorHAnsi"/>
            <w:sz w:val="24"/>
            <w:szCs w:val="24"/>
          </w:rPr>
          <m:t>∑</m:t>
        </m:r>
        <m:sSubSup>
          <m:sSubSupPr>
            <m:ctrlPr>
              <w:rPr>
                <w:rFonts w:ascii="Cambria Math" w:hAnsi="Cambria Math" w:cstheme="minorHAnsi"/>
                <w:i/>
                <w:sz w:val="24"/>
                <w:szCs w:val="24"/>
              </w:rPr>
            </m:ctrlPr>
          </m:sSubSupPr>
          <m:e>
            <m:r>
              <m:rPr>
                <m:sty m:val="p"/>
              </m:rPr>
              <w:rPr>
                <w:rFonts w:ascii="Cambria Math" w:hAnsi="Cambria Math" w:cstheme="minorHAnsi"/>
                <w:sz w:val="24"/>
                <w:szCs w:val="24"/>
              </w:rPr>
              <m:t xml:space="preserve"> </m:t>
            </m:r>
          </m:e>
          <m:sub>
            <m:r>
              <w:rPr>
                <w:rFonts w:ascii="Cambria Math" w:hAnsi="Cambria Math" w:cstheme="minorHAnsi"/>
                <w:sz w:val="24"/>
                <w:szCs w:val="24"/>
              </w:rPr>
              <m:t>i=1</m:t>
            </m:r>
          </m:sub>
          <m:sup>
            <m:r>
              <w:rPr>
                <w:rFonts w:ascii="Cambria Math" w:hAnsi="Cambria Math" w:cstheme="minorHAnsi"/>
                <w:sz w:val="24"/>
                <w:szCs w:val="24"/>
              </w:rPr>
              <m:t>N</m:t>
            </m:r>
          </m:sup>
        </m:sSubSup>
        <m:sSub>
          <m:sSubPr>
            <m:ctrlPr>
              <w:rPr>
                <w:rFonts w:ascii="Cambria Math" w:hAnsi="Cambria Math" w:cstheme="minorHAnsi"/>
                <w:i/>
                <w:sz w:val="24"/>
                <w:szCs w:val="24"/>
              </w:rPr>
            </m:ctrlPr>
          </m:sSubPr>
          <m:e>
            <m:r>
              <w:rPr>
                <w:rFonts w:ascii="Cambria Math" w:hAnsi="Cambria Math" w:cstheme="minorHAnsi"/>
                <w:sz w:val="24"/>
                <w:szCs w:val="24"/>
              </w:rPr>
              <m:t xml:space="preserve">         FROM</m:t>
            </m:r>
          </m:e>
          <m:sub>
            <m:r>
              <w:rPr>
                <w:rFonts w:ascii="Cambria Math" w:hAnsi="Cambria Math" w:cstheme="minorHAnsi"/>
                <w:sz w:val="24"/>
                <w:szCs w:val="24"/>
              </w:rPr>
              <m:t>it</m:t>
            </m:r>
          </m:sub>
        </m:sSub>
        <m:d>
          <m:dPr>
            <m:ctrlPr>
              <w:rPr>
                <w:rFonts w:ascii="Cambria Math" w:hAnsi="Cambria Math" w:cstheme="minorHAnsi"/>
                <w:i/>
                <w:sz w:val="24"/>
                <w:szCs w:val="24"/>
              </w:rPr>
            </m:ctrlPr>
          </m:dPr>
          <m:e>
            <m:r>
              <w:rPr>
                <w:rFonts w:ascii="Cambria Math" w:hAnsi="Cambria Math" w:cstheme="minorHAnsi"/>
                <w:sz w:val="24"/>
                <w:szCs w:val="24"/>
              </w:rPr>
              <m:t>d</m:t>
            </m:r>
          </m:e>
        </m:d>
      </m:oMath>
    </w:p>
    <w:p w14:paraId="537AB163" w14:textId="77777777" w:rsidR="002D3320" w:rsidRPr="00202E84" w:rsidRDefault="002D3320" w:rsidP="002D3320">
      <w:pPr>
        <w:rPr>
          <w:rFonts w:asciiTheme="majorBidi" w:hAnsiTheme="majorBidi" w:cstheme="majorBidi"/>
          <w:b/>
          <w:bCs/>
          <w:sz w:val="24"/>
          <w:szCs w:val="24"/>
        </w:rPr>
      </w:pPr>
    </w:p>
    <w:p w14:paraId="24F400A1" w14:textId="77777777" w:rsidR="002D3320" w:rsidRPr="00476411" w:rsidRDefault="002D3320" w:rsidP="002D3320">
      <w:pPr>
        <w:pStyle w:val="NormalWeb"/>
        <w:numPr>
          <w:ilvl w:val="0"/>
          <w:numId w:val="28"/>
        </w:numPr>
        <w:spacing w:line="360" w:lineRule="auto"/>
        <w:rPr>
          <w:b/>
          <w:bCs/>
          <w:lang w:val="fr-FR"/>
        </w:rPr>
      </w:pPr>
      <w:r w:rsidRPr="00476411">
        <w:rPr>
          <w:b/>
          <w:bCs/>
          <w:lang w:val="fr-FR"/>
        </w:rPr>
        <w:t>Analyse empirique et discussion des résultats</w:t>
      </w:r>
    </w:p>
    <w:p w14:paraId="3FC8D5EA" w14:textId="77777777" w:rsidR="002D3320" w:rsidRPr="004B56C0" w:rsidRDefault="002D3320" w:rsidP="002D3320">
      <w:pPr>
        <w:pStyle w:val="Paragraphedeliste"/>
        <w:numPr>
          <w:ilvl w:val="1"/>
          <w:numId w:val="28"/>
        </w:numPr>
        <w:spacing w:after="160"/>
        <w:rPr>
          <w:rFonts w:asciiTheme="majorBidi" w:hAnsiTheme="majorBidi" w:cstheme="majorBidi"/>
          <w:sz w:val="24"/>
          <w:szCs w:val="24"/>
          <w:u w:val="single"/>
        </w:rPr>
      </w:pPr>
      <w:r w:rsidRPr="004B56C0">
        <w:rPr>
          <w:rFonts w:asciiTheme="majorBidi" w:hAnsiTheme="majorBidi" w:cstheme="majorBidi"/>
          <w:sz w:val="24"/>
          <w:szCs w:val="24"/>
          <w:u w:val="single"/>
        </w:rPr>
        <w:t>Connectivité moyenne totale de la volatilité</w:t>
      </w:r>
    </w:p>
    <w:p w14:paraId="16C3390B" w14:textId="77777777" w:rsidR="002D3320" w:rsidRPr="002D3320" w:rsidRDefault="002D3320" w:rsidP="002D3320">
      <w:pPr>
        <w:rPr>
          <w:rFonts w:cstheme="minorHAnsi"/>
          <w:sz w:val="24"/>
          <w:szCs w:val="24"/>
        </w:rPr>
      </w:pPr>
      <w:r w:rsidRPr="002D3320">
        <w:rPr>
          <w:rFonts w:cstheme="minorHAnsi"/>
          <w:sz w:val="24"/>
          <w:szCs w:val="24"/>
        </w:rPr>
        <w:t xml:space="preserve">Les tableaux ci-dessous fournissent une vue détaillée de la connectivité de la volatilité parmi six cryptocurrencies majeures, Bitcoin (BTC), Ethereum (ETH), Litecoin (LTC), Cardano (ADA), Ripple (XRP), et Stellar (XLM), parallèlement à l'indice de stress financier (FSI). Ces tableaux analysent la connectivité sur trois horizons : global, court terme (1-5 jours de trading) et long terme (5 jours à l'infini), ce qui permet d'interpréter comment la volatilité se transmet au sein de ce réseau au fil du temps. Analysés au cours de la période COVID-19, ces résultats sont essentiels pour comprendre comment les marchés des crypto-monnaies ont réagi à l'une des crises mondiales les plus importantes de l'histoire récente, offrant un aperçu à la fois de la résilience et de la vulnérabilité systémique. L'indice TCI (Total Connectedness Index) mesure l'interconnexion de la volatilité globale du marché, tandis que les valeurs « TO » et « FROM » de chaque crypto-monnaie révèlent dans quelle mesure chaque actif contribue à la volatilité du réseau et en bénéficie. Une valeur « Net » positive indique qu'un actif est un émetteur net de volatilité, tandis qu'une valeur négative suggère qu'il est plutôt un récepteur. Ce cadre met en évidence non seulement le rôle de chaque crypto-monnaie dans la dynamique du marché, mais aussi la résilience de ces actifs et l'influence de l'FSI au fil du temps. </w:t>
      </w:r>
    </w:p>
    <w:p w14:paraId="5A7015F7" w14:textId="77777777" w:rsidR="002D3320" w:rsidRPr="002D3320" w:rsidRDefault="002D3320" w:rsidP="002D3320">
      <w:pPr>
        <w:rPr>
          <w:rFonts w:cstheme="minorHAnsi"/>
          <w:b/>
          <w:bCs/>
          <w:sz w:val="24"/>
          <w:szCs w:val="24"/>
        </w:rPr>
      </w:pPr>
      <w:r w:rsidRPr="002D3320">
        <w:rPr>
          <w:rFonts w:cstheme="minorHAnsi"/>
          <w:b/>
          <w:bCs/>
          <w:sz w:val="24"/>
          <w:szCs w:val="24"/>
        </w:rPr>
        <w:t xml:space="preserve">Tableau 2. </w:t>
      </w:r>
      <w:r w:rsidRPr="002D3320">
        <w:rPr>
          <w:rFonts w:cstheme="minorHAnsi"/>
          <w:sz w:val="24"/>
          <w:szCs w:val="24"/>
        </w:rPr>
        <w:t>Connectivité moyenne de la volatilité.</w:t>
      </w:r>
    </w:p>
    <w:tbl>
      <w:tblPr>
        <w:tblStyle w:val="TableauGrille1Clair"/>
        <w:tblpPr w:leftFromText="180" w:rightFromText="180" w:vertAnchor="text" w:horzAnchor="margin" w:tblpXSpec="center" w:tblpY="443"/>
        <w:tblW w:w="10922" w:type="dxa"/>
        <w:tblLook w:val="04A0" w:firstRow="1" w:lastRow="0" w:firstColumn="1" w:lastColumn="0" w:noHBand="0" w:noVBand="1"/>
      </w:tblPr>
      <w:tblGrid>
        <w:gridCol w:w="1129"/>
        <w:gridCol w:w="1177"/>
        <w:gridCol w:w="1269"/>
        <w:gridCol w:w="1408"/>
        <w:gridCol w:w="990"/>
        <w:gridCol w:w="1274"/>
        <w:gridCol w:w="1124"/>
        <w:gridCol w:w="1268"/>
        <w:gridCol w:w="1283"/>
      </w:tblGrid>
      <w:tr w:rsidR="002D3320" w:rsidRPr="00C25DF4" w14:paraId="393CDA15" w14:textId="77777777" w:rsidTr="00CB5D4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29" w:type="dxa"/>
          </w:tcPr>
          <w:p w14:paraId="19077CB3" w14:textId="77777777" w:rsidR="002D3320" w:rsidRPr="00C25DF4" w:rsidRDefault="002D3320" w:rsidP="002D3320">
            <w:pPr>
              <w:spacing w:line="360" w:lineRule="auto"/>
              <w:jc w:val="both"/>
              <w:rPr>
                <w:rFonts w:asciiTheme="majorBidi" w:hAnsiTheme="majorBidi" w:cstheme="majorBidi"/>
                <w:b w:val="0"/>
                <w:bCs w:val="0"/>
                <w:sz w:val="24"/>
                <w:szCs w:val="24"/>
                <w:lang w:val="fr-FR"/>
              </w:rPr>
            </w:pPr>
          </w:p>
        </w:tc>
        <w:tc>
          <w:tcPr>
            <w:tcW w:w="1177" w:type="dxa"/>
          </w:tcPr>
          <w:p w14:paraId="4F479BF2"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BTC</w:t>
            </w:r>
          </w:p>
        </w:tc>
        <w:tc>
          <w:tcPr>
            <w:tcW w:w="1269" w:type="dxa"/>
          </w:tcPr>
          <w:p w14:paraId="0936603E"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ETH</w:t>
            </w:r>
          </w:p>
        </w:tc>
        <w:tc>
          <w:tcPr>
            <w:tcW w:w="1408" w:type="dxa"/>
          </w:tcPr>
          <w:p w14:paraId="0616EF63"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LTC</w:t>
            </w:r>
          </w:p>
        </w:tc>
        <w:tc>
          <w:tcPr>
            <w:tcW w:w="990" w:type="dxa"/>
          </w:tcPr>
          <w:p w14:paraId="38EA59AB"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ADA</w:t>
            </w:r>
          </w:p>
        </w:tc>
        <w:tc>
          <w:tcPr>
            <w:tcW w:w="1274" w:type="dxa"/>
          </w:tcPr>
          <w:p w14:paraId="117ED183"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XRP</w:t>
            </w:r>
          </w:p>
        </w:tc>
        <w:tc>
          <w:tcPr>
            <w:tcW w:w="1124" w:type="dxa"/>
          </w:tcPr>
          <w:p w14:paraId="493840A4"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XLM</w:t>
            </w:r>
          </w:p>
        </w:tc>
        <w:tc>
          <w:tcPr>
            <w:tcW w:w="1268" w:type="dxa"/>
          </w:tcPr>
          <w:p w14:paraId="0E14BA4F"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FSI</w:t>
            </w:r>
          </w:p>
        </w:tc>
        <w:tc>
          <w:tcPr>
            <w:tcW w:w="1283" w:type="dxa"/>
          </w:tcPr>
          <w:p w14:paraId="4C3C1D4C"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FROM</w:t>
            </w:r>
          </w:p>
        </w:tc>
      </w:tr>
      <w:tr w:rsidR="002D3320" w:rsidRPr="00C25DF4" w14:paraId="79D49D89" w14:textId="77777777" w:rsidTr="00CB5D4D">
        <w:trPr>
          <w:trHeight w:val="306"/>
        </w:trPr>
        <w:tc>
          <w:tcPr>
            <w:cnfStyle w:val="001000000000" w:firstRow="0" w:lastRow="0" w:firstColumn="1" w:lastColumn="0" w:oddVBand="0" w:evenVBand="0" w:oddHBand="0" w:evenHBand="0" w:firstRowFirstColumn="0" w:firstRowLastColumn="0" w:lastRowFirstColumn="0" w:lastRowLastColumn="0"/>
            <w:tcW w:w="1129" w:type="dxa"/>
          </w:tcPr>
          <w:p w14:paraId="6E871990"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BTC</w:t>
            </w:r>
          </w:p>
        </w:tc>
        <w:tc>
          <w:tcPr>
            <w:tcW w:w="1177" w:type="dxa"/>
          </w:tcPr>
          <w:p w14:paraId="4FECA38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26.77</w:t>
            </w:r>
          </w:p>
        </w:tc>
        <w:tc>
          <w:tcPr>
            <w:tcW w:w="1269" w:type="dxa"/>
          </w:tcPr>
          <w:p w14:paraId="444A090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18.33</w:t>
            </w:r>
          </w:p>
        </w:tc>
        <w:tc>
          <w:tcPr>
            <w:tcW w:w="1408" w:type="dxa"/>
          </w:tcPr>
          <w:p w14:paraId="6749E22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16.71</w:t>
            </w:r>
          </w:p>
        </w:tc>
        <w:tc>
          <w:tcPr>
            <w:tcW w:w="990" w:type="dxa"/>
          </w:tcPr>
          <w:p w14:paraId="187504DA"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13.74</w:t>
            </w:r>
          </w:p>
        </w:tc>
        <w:tc>
          <w:tcPr>
            <w:tcW w:w="1274" w:type="dxa"/>
          </w:tcPr>
          <w:p w14:paraId="5C47D22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11.94</w:t>
            </w:r>
          </w:p>
        </w:tc>
        <w:tc>
          <w:tcPr>
            <w:tcW w:w="1124" w:type="dxa"/>
          </w:tcPr>
          <w:p w14:paraId="4A55C31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12.15</w:t>
            </w:r>
          </w:p>
        </w:tc>
        <w:tc>
          <w:tcPr>
            <w:tcW w:w="1268" w:type="dxa"/>
          </w:tcPr>
          <w:p w14:paraId="57290CA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0.36</w:t>
            </w:r>
          </w:p>
        </w:tc>
        <w:tc>
          <w:tcPr>
            <w:tcW w:w="1283" w:type="dxa"/>
          </w:tcPr>
          <w:p w14:paraId="5CD8878A"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73.23</w:t>
            </w:r>
          </w:p>
        </w:tc>
      </w:tr>
      <w:tr w:rsidR="002D3320" w:rsidRPr="00C25DF4" w14:paraId="59E8464B" w14:textId="77777777" w:rsidTr="00CB5D4D">
        <w:trPr>
          <w:trHeight w:val="290"/>
        </w:trPr>
        <w:tc>
          <w:tcPr>
            <w:cnfStyle w:val="001000000000" w:firstRow="0" w:lastRow="0" w:firstColumn="1" w:lastColumn="0" w:oddVBand="0" w:evenVBand="0" w:oddHBand="0" w:evenHBand="0" w:firstRowFirstColumn="0" w:firstRowLastColumn="0" w:lastRowFirstColumn="0" w:lastRowLastColumn="0"/>
            <w:tcW w:w="1129" w:type="dxa"/>
          </w:tcPr>
          <w:p w14:paraId="6CAC79E4"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ETH</w:t>
            </w:r>
          </w:p>
        </w:tc>
        <w:tc>
          <w:tcPr>
            <w:tcW w:w="1177" w:type="dxa"/>
          </w:tcPr>
          <w:p w14:paraId="2FCD1A0A"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17.48</w:t>
            </w:r>
          </w:p>
        </w:tc>
        <w:tc>
          <w:tcPr>
            <w:tcW w:w="1269" w:type="dxa"/>
          </w:tcPr>
          <w:p w14:paraId="6A6CAEF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25.73</w:t>
            </w:r>
          </w:p>
        </w:tc>
        <w:tc>
          <w:tcPr>
            <w:tcW w:w="1408" w:type="dxa"/>
          </w:tcPr>
          <w:p w14:paraId="668263C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16.70</w:t>
            </w:r>
          </w:p>
        </w:tc>
        <w:tc>
          <w:tcPr>
            <w:tcW w:w="990" w:type="dxa"/>
          </w:tcPr>
          <w:p w14:paraId="333A756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14.48</w:t>
            </w:r>
          </w:p>
        </w:tc>
        <w:tc>
          <w:tcPr>
            <w:tcW w:w="1274" w:type="dxa"/>
          </w:tcPr>
          <w:p w14:paraId="64B7AFE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12.89</w:t>
            </w:r>
          </w:p>
        </w:tc>
        <w:tc>
          <w:tcPr>
            <w:tcW w:w="1124" w:type="dxa"/>
          </w:tcPr>
          <w:p w14:paraId="75E46B4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12.22</w:t>
            </w:r>
          </w:p>
        </w:tc>
        <w:tc>
          <w:tcPr>
            <w:tcW w:w="1268" w:type="dxa"/>
          </w:tcPr>
          <w:p w14:paraId="56F3DF9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0.49</w:t>
            </w:r>
          </w:p>
        </w:tc>
        <w:tc>
          <w:tcPr>
            <w:tcW w:w="1283" w:type="dxa"/>
          </w:tcPr>
          <w:p w14:paraId="64D4FC8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74.27</w:t>
            </w:r>
          </w:p>
        </w:tc>
      </w:tr>
      <w:tr w:rsidR="002D3320" w:rsidRPr="00C25DF4" w14:paraId="1140FAEC" w14:textId="77777777" w:rsidTr="00CB5D4D">
        <w:trPr>
          <w:trHeight w:val="290"/>
        </w:trPr>
        <w:tc>
          <w:tcPr>
            <w:cnfStyle w:val="001000000000" w:firstRow="0" w:lastRow="0" w:firstColumn="1" w:lastColumn="0" w:oddVBand="0" w:evenVBand="0" w:oddHBand="0" w:evenHBand="0" w:firstRowFirstColumn="0" w:firstRowLastColumn="0" w:lastRowFirstColumn="0" w:lastRowLastColumn="0"/>
            <w:tcW w:w="1129" w:type="dxa"/>
          </w:tcPr>
          <w:p w14:paraId="3EDD8C21"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LTC</w:t>
            </w:r>
          </w:p>
        </w:tc>
        <w:tc>
          <w:tcPr>
            <w:tcW w:w="1177" w:type="dxa"/>
          </w:tcPr>
          <w:p w14:paraId="5455A28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16.72</w:t>
            </w:r>
          </w:p>
        </w:tc>
        <w:tc>
          <w:tcPr>
            <w:tcW w:w="1269" w:type="dxa"/>
          </w:tcPr>
          <w:p w14:paraId="74482ADE"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17.36</w:t>
            </w:r>
          </w:p>
        </w:tc>
        <w:tc>
          <w:tcPr>
            <w:tcW w:w="1408" w:type="dxa"/>
          </w:tcPr>
          <w:p w14:paraId="0FA17818"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26.82</w:t>
            </w:r>
          </w:p>
        </w:tc>
        <w:tc>
          <w:tcPr>
            <w:tcW w:w="990" w:type="dxa"/>
          </w:tcPr>
          <w:p w14:paraId="4088E47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14.07</w:t>
            </w:r>
          </w:p>
        </w:tc>
        <w:tc>
          <w:tcPr>
            <w:tcW w:w="1274" w:type="dxa"/>
          </w:tcPr>
          <w:p w14:paraId="5EB2A35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12.55</w:t>
            </w:r>
          </w:p>
        </w:tc>
        <w:tc>
          <w:tcPr>
            <w:tcW w:w="1124" w:type="dxa"/>
          </w:tcPr>
          <w:p w14:paraId="063049B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12.30</w:t>
            </w:r>
          </w:p>
        </w:tc>
        <w:tc>
          <w:tcPr>
            <w:tcW w:w="1268" w:type="dxa"/>
          </w:tcPr>
          <w:p w14:paraId="0588016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0.44</w:t>
            </w:r>
          </w:p>
        </w:tc>
        <w:tc>
          <w:tcPr>
            <w:tcW w:w="1283" w:type="dxa"/>
          </w:tcPr>
          <w:p w14:paraId="4DAA16FE"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73.18</w:t>
            </w:r>
          </w:p>
        </w:tc>
      </w:tr>
      <w:tr w:rsidR="002D3320" w:rsidRPr="00C25DF4" w14:paraId="766CB429" w14:textId="77777777" w:rsidTr="00CB5D4D">
        <w:trPr>
          <w:trHeight w:val="290"/>
        </w:trPr>
        <w:tc>
          <w:tcPr>
            <w:cnfStyle w:val="001000000000" w:firstRow="0" w:lastRow="0" w:firstColumn="1" w:lastColumn="0" w:oddVBand="0" w:evenVBand="0" w:oddHBand="0" w:evenHBand="0" w:firstRowFirstColumn="0" w:firstRowLastColumn="0" w:lastRowFirstColumn="0" w:lastRowLastColumn="0"/>
            <w:tcW w:w="1129" w:type="dxa"/>
          </w:tcPr>
          <w:p w14:paraId="04E6F1C0"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ADA</w:t>
            </w:r>
          </w:p>
        </w:tc>
        <w:tc>
          <w:tcPr>
            <w:tcW w:w="1177" w:type="dxa"/>
          </w:tcPr>
          <w:p w14:paraId="2AD5073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13.54</w:t>
            </w:r>
          </w:p>
        </w:tc>
        <w:tc>
          <w:tcPr>
            <w:tcW w:w="1269" w:type="dxa"/>
          </w:tcPr>
          <w:p w14:paraId="49820F1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15.02</w:t>
            </w:r>
          </w:p>
        </w:tc>
        <w:tc>
          <w:tcPr>
            <w:tcW w:w="1408" w:type="dxa"/>
          </w:tcPr>
          <w:p w14:paraId="1D88A2FE"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13.90</w:t>
            </w:r>
          </w:p>
        </w:tc>
        <w:tc>
          <w:tcPr>
            <w:tcW w:w="990" w:type="dxa"/>
          </w:tcPr>
          <w:p w14:paraId="1DE1BD5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26.45</w:t>
            </w:r>
          </w:p>
        </w:tc>
        <w:tc>
          <w:tcPr>
            <w:tcW w:w="1274" w:type="dxa"/>
          </w:tcPr>
          <w:p w14:paraId="782AA9D8"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14.05</w:t>
            </w:r>
          </w:p>
        </w:tc>
        <w:tc>
          <w:tcPr>
            <w:tcW w:w="1124" w:type="dxa"/>
          </w:tcPr>
          <w:p w14:paraId="17C2B67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16.57</w:t>
            </w:r>
          </w:p>
        </w:tc>
        <w:tc>
          <w:tcPr>
            <w:tcW w:w="1268" w:type="dxa"/>
          </w:tcPr>
          <w:p w14:paraId="23DF85F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0.48</w:t>
            </w:r>
          </w:p>
        </w:tc>
        <w:tc>
          <w:tcPr>
            <w:tcW w:w="1283" w:type="dxa"/>
          </w:tcPr>
          <w:p w14:paraId="51243E0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72.55</w:t>
            </w:r>
          </w:p>
        </w:tc>
      </w:tr>
      <w:tr w:rsidR="002D3320" w:rsidRPr="00C25DF4" w14:paraId="7453D8EA" w14:textId="77777777" w:rsidTr="00CB5D4D">
        <w:trPr>
          <w:trHeight w:val="306"/>
        </w:trPr>
        <w:tc>
          <w:tcPr>
            <w:cnfStyle w:val="001000000000" w:firstRow="0" w:lastRow="0" w:firstColumn="1" w:lastColumn="0" w:oddVBand="0" w:evenVBand="0" w:oddHBand="0" w:evenHBand="0" w:firstRowFirstColumn="0" w:firstRowLastColumn="0" w:lastRowFirstColumn="0" w:lastRowLastColumn="0"/>
            <w:tcW w:w="1129" w:type="dxa"/>
          </w:tcPr>
          <w:p w14:paraId="43488161"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XRP</w:t>
            </w:r>
          </w:p>
        </w:tc>
        <w:tc>
          <w:tcPr>
            <w:tcW w:w="1177" w:type="dxa"/>
          </w:tcPr>
          <w:p w14:paraId="4F98431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12.21</w:t>
            </w:r>
          </w:p>
        </w:tc>
        <w:tc>
          <w:tcPr>
            <w:tcW w:w="1269" w:type="dxa"/>
          </w:tcPr>
          <w:p w14:paraId="1F520BC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13.78</w:t>
            </w:r>
          </w:p>
        </w:tc>
        <w:tc>
          <w:tcPr>
            <w:tcW w:w="1408" w:type="dxa"/>
          </w:tcPr>
          <w:p w14:paraId="299A2C3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13.06</w:t>
            </w:r>
          </w:p>
        </w:tc>
        <w:tc>
          <w:tcPr>
            <w:tcW w:w="990" w:type="dxa"/>
          </w:tcPr>
          <w:p w14:paraId="1A9EA41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14.58</w:t>
            </w:r>
          </w:p>
        </w:tc>
        <w:tc>
          <w:tcPr>
            <w:tcW w:w="1274" w:type="dxa"/>
          </w:tcPr>
          <w:p w14:paraId="530A51C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28.14</w:t>
            </w:r>
          </w:p>
        </w:tc>
        <w:tc>
          <w:tcPr>
            <w:tcW w:w="1124" w:type="dxa"/>
          </w:tcPr>
          <w:p w14:paraId="4DF06BC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17.57</w:t>
            </w:r>
          </w:p>
        </w:tc>
        <w:tc>
          <w:tcPr>
            <w:tcW w:w="1268" w:type="dxa"/>
          </w:tcPr>
          <w:p w14:paraId="1B63906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0.26</w:t>
            </w:r>
          </w:p>
        </w:tc>
        <w:tc>
          <w:tcPr>
            <w:tcW w:w="1283" w:type="dxa"/>
          </w:tcPr>
          <w:p w14:paraId="55A69FF8"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71.86</w:t>
            </w:r>
          </w:p>
        </w:tc>
      </w:tr>
      <w:tr w:rsidR="002D3320" w:rsidRPr="00C25DF4" w14:paraId="76C65D1C" w14:textId="77777777" w:rsidTr="00CB5D4D">
        <w:trPr>
          <w:trHeight w:val="290"/>
        </w:trPr>
        <w:tc>
          <w:tcPr>
            <w:cnfStyle w:val="001000000000" w:firstRow="0" w:lastRow="0" w:firstColumn="1" w:lastColumn="0" w:oddVBand="0" w:evenVBand="0" w:oddHBand="0" w:evenHBand="0" w:firstRowFirstColumn="0" w:firstRowLastColumn="0" w:lastRowFirstColumn="0" w:lastRowLastColumn="0"/>
            <w:tcW w:w="1129" w:type="dxa"/>
          </w:tcPr>
          <w:p w14:paraId="4FB57175"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XLM</w:t>
            </w:r>
          </w:p>
        </w:tc>
        <w:tc>
          <w:tcPr>
            <w:tcW w:w="1177" w:type="dxa"/>
          </w:tcPr>
          <w:p w14:paraId="7ECE776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12.38</w:t>
            </w:r>
          </w:p>
        </w:tc>
        <w:tc>
          <w:tcPr>
            <w:tcW w:w="1269" w:type="dxa"/>
          </w:tcPr>
          <w:p w14:paraId="51C8C6A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13.02</w:t>
            </w:r>
          </w:p>
        </w:tc>
        <w:tc>
          <w:tcPr>
            <w:tcW w:w="1408" w:type="dxa"/>
          </w:tcPr>
          <w:p w14:paraId="1E7A9D5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12.28</w:t>
            </w:r>
          </w:p>
        </w:tc>
        <w:tc>
          <w:tcPr>
            <w:tcW w:w="990" w:type="dxa"/>
          </w:tcPr>
          <w:p w14:paraId="60F1BDF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16.92</w:t>
            </w:r>
          </w:p>
        </w:tc>
        <w:tc>
          <w:tcPr>
            <w:tcW w:w="1274" w:type="dxa"/>
          </w:tcPr>
          <w:p w14:paraId="35114D2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17.57</w:t>
            </w:r>
          </w:p>
        </w:tc>
        <w:tc>
          <w:tcPr>
            <w:tcW w:w="1124" w:type="dxa"/>
          </w:tcPr>
          <w:p w14:paraId="73CA83C6"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27.36</w:t>
            </w:r>
          </w:p>
        </w:tc>
        <w:tc>
          <w:tcPr>
            <w:tcW w:w="1268" w:type="dxa"/>
          </w:tcPr>
          <w:p w14:paraId="3B2E274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0.47</w:t>
            </w:r>
          </w:p>
        </w:tc>
        <w:tc>
          <w:tcPr>
            <w:tcW w:w="1283" w:type="dxa"/>
          </w:tcPr>
          <w:p w14:paraId="74A4F13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72.64</w:t>
            </w:r>
          </w:p>
        </w:tc>
      </w:tr>
      <w:tr w:rsidR="002D3320" w:rsidRPr="00C25DF4" w14:paraId="75AD4F1D" w14:textId="77777777" w:rsidTr="00CB5D4D">
        <w:trPr>
          <w:trHeight w:val="290"/>
        </w:trPr>
        <w:tc>
          <w:tcPr>
            <w:cnfStyle w:val="001000000000" w:firstRow="0" w:lastRow="0" w:firstColumn="1" w:lastColumn="0" w:oddVBand="0" w:evenVBand="0" w:oddHBand="0" w:evenHBand="0" w:firstRowFirstColumn="0" w:firstRowLastColumn="0" w:lastRowFirstColumn="0" w:lastRowLastColumn="0"/>
            <w:tcW w:w="1129" w:type="dxa"/>
          </w:tcPr>
          <w:p w14:paraId="32EEF9E0"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FSI</w:t>
            </w:r>
          </w:p>
        </w:tc>
        <w:tc>
          <w:tcPr>
            <w:tcW w:w="1177" w:type="dxa"/>
          </w:tcPr>
          <w:p w14:paraId="14F4E636"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0.76</w:t>
            </w:r>
          </w:p>
        </w:tc>
        <w:tc>
          <w:tcPr>
            <w:tcW w:w="1269" w:type="dxa"/>
          </w:tcPr>
          <w:p w14:paraId="1230654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0.79</w:t>
            </w:r>
          </w:p>
        </w:tc>
        <w:tc>
          <w:tcPr>
            <w:tcW w:w="1408" w:type="dxa"/>
          </w:tcPr>
          <w:p w14:paraId="65AB4A4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0.69</w:t>
            </w:r>
          </w:p>
        </w:tc>
        <w:tc>
          <w:tcPr>
            <w:tcW w:w="990" w:type="dxa"/>
          </w:tcPr>
          <w:p w14:paraId="774EA4E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1.00</w:t>
            </w:r>
          </w:p>
        </w:tc>
        <w:tc>
          <w:tcPr>
            <w:tcW w:w="1274" w:type="dxa"/>
          </w:tcPr>
          <w:p w14:paraId="1F18CA1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0.86</w:t>
            </w:r>
          </w:p>
        </w:tc>
        <w:tc>
          <w:tcPr>
            <w:tcW w:w="1124" w:type="dxa"/>
          </w:tcPr>
          <w:p w14:paraId="150ED48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0.84</w:t>
            </w:r>
          </w:p>
        </w:tc>
        <w:tc>
          <w:tcPr>
            <w:tcW w:w="1268" w:type="dxa"/>
          </w:tcPr>
          <w:p w14:paraId="74FB89D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95.07</w:t>
            </w:r>
          </w:p>
        </w:tc>
        <w:tc>
          <w:tcPr>
            <w:tcW w:w="1283" w:type="dxa"/>
          </w:tcPr>
          <w:p w14:paraId="70E3FEA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4.93</w:t>
            </w:r>
          </w:p>
        </w:tc>
      </w:tr>
      <w:tr w:rsidR="002D3320" w:rsidRPr="00C25DF4" w14:paraId="05A0EFF7" w14:textId="77777777" w:rsidTr="00CB5D4D">
        <w:trPr>
          <w:trHeight w:val="306"/>
        </w:trPr>
        <w:tc>
          <w:tcPr>
            <w:cnfStyle w:val="001000000000" w:firstRow="0" w:lastRow="0" w:firstColumn="1" w:lastColumn="0" w:oddVBand="0" w:evenVBand="0" w:oddHBand="0" w:evenHBand="0" w:firstRowFirstColumn="0" w:firstRowLastColumn="0" w:lastRowFirstColumn="0" w:lastRowLastColumn="0"/>
            <w:tcW w:w="1129" w:type="dxa"/>
          </w:tcPr>
          <w:p w14:paraId="14C114E2"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TO</w:t>
            </w:r>
          </w:p>
        </w:tc>
        <w:tc>
          <w:tcPr>
            <w:tcW w:w="1177" w:type="dxa"/>
          </w:tcPr>
          <w:p w14:paraId="4E4AD3A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73.08</w:t>
            </w:r>
          </w:p>
        </w:tc>
        <w:tc>
          <w:tcPr>
            <w:tcW w:w="1269" w:type="dxa"/>
          </w:tcPr>
          <w:p w14:paraId="27A5A3C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78.30</w:t>
            </w:r>
          </w:p>
        </w:tc>
        <w:tc>
          <w:tcPr>
            <w:tcW w:w="1408" w:type="dxa"/>
          </w:tcPr>
          <w:p w14:paraId="1889C0E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73.34</w:t>
            </w:r>
          </w:p>
        </w:tc>
        <w:tc>
          <w:tcPr>
            <w:tcW w:w="990" w:type="dxa"/>
          </w:tcPr>
          <w:p w14:paraId="77BAE23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74.80</w:t>
            </w:r>
          </w:p>
        </w:tc>
        <w:tc>
          <w:tcPr>
            <w:tcW w:w="1274" w:type="dxa"/>
          </w:tcPr>
          <w:p w14:paraId="578558EE"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69.49</w:t>
            </w:r>
          </w:p>
        </w:tc>
        <w:tc>
          <w:tcPr>
            <w:tcW w:w="1124" w:type="dxa"/>
          </w:tcPr>
          <w:p w14:paraId="31B1938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71.77</w:t>
            </w:r>
          </w:p>
        </w:tc>
        <w:tc>
          <w:tcPr>
            <w:tcW w:w="1268" w:type="dxa"/>
          </w:tcPr>
          <w:p w14:paraId="04757F8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2.49</w:t>
            </w:r>
          </w:p>
        </w:tc>
        <w:tc>
          <w:tcPr>
            <w:tcW w:w="1283" w:type="dxa"/>
          </w:tcPr>
          <w:p w14:paraId="2AAB387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443.66</w:t>
            </w:r>
          </w:p>
        </w:tc>
      </w:tr>
      <w:tr w:rsidR="002D3320" w:rsidRPr="00C25DF4" w14:paraId="21B93BB3" w14:textId="77777777" w:rsidTr="00CB5D4D">
        <w:trPr>
          <w:trHeight w:val="290"/>
        </w:trPr>
        <w:tc>
          <w:tcPr>
            <w:cnfStyle w:val="001000000000" w:firstRow="0" w:lastRow="0" w:firstColumn="1" w:lastColumn="0" w:oddVBand="0" w:evenVBand="0" w:oddHBand="0" w:evenHBand="0" w:firstRowFirstColumn="0" w:firstRowLastColumn="0" w:lastRowFirstColumn="0" w:lastRowLastColumn="0"/>
            <w:tcW w:w="1129" w:type="dxa"/>
          </w:tcPr>
          <w:p w14:paraId="0A2290F4"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Net</w:t>
            </w:r>
          </w:p>
        </w:tc>
        <w:tc>
          <w:tcPr>
            <w:tcW w:w="1177" w:type="dxa"/>
          </w:tcPr>
          <w:p w14:paraId="6B1F994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-0.15</w:t>
            </w:r>
          </w:p>
        </w:tc>
        <w:tc>
          <w:tcPr>
            <w:tcW w:w="1269" w:type="dxa"/>
          </w:tcPr>
          <w:p w14:paraId="36486BA6"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4.03</w:t>
            </w:r>
          </w:p>
        </w:tc>
        <w:tc>
          <w:tcPr>
            <w:tcW w:w="1408" w:type="dxa"/>
          </w:tcPr>
          <w:p w14:paraId="135688F6"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0.17</w:t>
            </w:r>
          </w:p>
        </w:tc>
        <w:tc>
          <w:tcPr>
            <w:tcW w:w="990" w:type="dxa"/>
          </w:tcPr>
          <w:p w14:paraId="79D10E0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1.25</w:t>
            </w:r>
          </w:p>
        </w:tc>
        <w:tc>
          <w:tcPr>
            <w:tcW w:w="1274" w:type="dxa"/>
          </w:tcPr>
          <w:p w14:paraId="6414C38A"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-1.99</w:t>
            </w:r>
          </w:p>
        </w:tc>
        <w:tc>
          <w:tcPr>
            <w:tcW w:w="1124" w:type="dxa"/>
          </w:tcPr>
          <w:p w14:paraId="0B9E759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-0.87</w:t>
            </w:r>
          </w:p>
        </w:tc>
        <w:tc>
          <w:tcPr>
            <w:tcW w:w="1268" w:type="dxa"/>
          </w:tcPr>
          <w:p w14:paraId="5912611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-2.44</w:t>
            </w:r>
          </w:p>
        </w:tc>
        <w:tc>
          <w:tcPr>
            <w:tcW w:w="1283" w:type="dxa"/>
          </w:tcPr>
          <w:p w14:paraId="3122DE5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TCI / </w:t>
            </w:r>
            <w:r w:rsidRPr="00C25DF4">
              <w:rPr>
                <w:rFonts w:asciiTheme="majorBidi" w:hAnsiTheme="majorBidi" w:cstheme="majorBidi"/>
                <w:sz w:val="24"/>
                <w:szCs w:val="24"/>
              </w:rPr>
              <w:t>63.3</w:t>
            </w:r>
          </w:p>
        </w:tc>
      </w:tr>
    </w:tbl>
    <w:p w14:paraId="5A34186B" w14:textId="77777777" w:rsidR="002D3320" w:rsidRDefault="002D3320" w:rsidP="002D3320">
      <w:pPr>
        <w:pStyle w:val="Paragraphedeliste"/>
        <w:ind w:left="360"/>
        <w:rPr>
          <w:rFonts w:asciiTheme="majorBidi" w:hAnsiTheme="majorBidi" w:cstheme="majorBidi"/>
          <w:b/>
          <w:bCs/>
          <w:sz w:val="24"/>
          <w:szCs w:val="24"/>
        </w:rPr>
      </w:pPr>
    </w:p>
    <w:p w14:paraId="1B99AB46" w14:textId="526E3F07" w:rsidR="002D3320" w:rsidRDefault="002D3320" w:rsidP="002D3320">
      <w:pPr>
        <w:pStyle w:val="Paragraphedeliste"/>
        <w:ind w:left="360"/>
        <w:rPr>
          <w:rFonts w:asciiTheme="majorBidi" w:hAnsiTheme="majorBidi" w:cstheme="majorBidi"/>
          <w:b/>
          <w:bCs/>
          <w:sz w:val="24"/>
          <w:szCs w:val="24"/>
        </w:rPr>
      </w:pPr>
    </w:p>
    <w:p w14:paraId="6A74DC1D" w14:textId="5AE333B8" w:rsidR="002D3320" w:rsidRDefault="002D3320" w:rsidP="002D3320">
      <w:pPr>
        <w:pStyle w:val="Paragraphedeliste"/>
        <w:ind w:left="360"/>
        <w:rPr>
          <w:rFonts w:asciiTheme="majorBidi" w:hAnsiTheme="majorBidi" w:cstheme="majorBidi"/>
          <w:b/>
          <w:bCs/>
          <w:sz w:val="24"/>
          <w:szCs w:val="24"/>
        </w:rPr>
      </w:pPr>
    </w:p>
    <w:p w14:paraId="5943FB06" w14:textId="77777777" w:rsidR="002D3320" w:rsidRDefault="002D3320" w:rsidP="002D3320">
      <w:pPr>
        <w:pStyle w:val="Paragraphedeliste"/>
        <w:ind w:left="360"/>
        <w:rPr>
          <w:rFonts w:asciiTheme="majorBidi" w:hAnsiTheme="majorBidi" w:cstheme="majorBidi"/>
          <w:b/>
          <w:bCs/>
          <w:sz w:val="24"/>
          <w:szCs w:val="24"/>
        </w:rPr>
      </w:pPr>
    </w:p>
    <w:p w14:paraId="714C4D35" w14:textId="77777777" w:rsidR="002D3320" w:rsidRPr="002D3320" w:rsidRDefault="002D3320" w:rsidP="002D3320">
      <w:pPr>
        <w:rPr>
          <w:rFonts w:cstheme="minorHAnsi"/>
          <w:sz w:val="24"/>
          <w:szCs w:val="24"/>
        </w:rPr>
      </w:pPr>
      <w:r w:rsidRPr="002D3320">
        <w:rPr>
          <w:rFonts w:cstheme="minorHAnsi"/>
          <w:b/>
          <w:bCs/>
          <w:sz w:val="24"/>
          <w:szCs w:val="24"/>
        </w:rPr>
        <w:t xml:space="preserve">Tableau 3. </w:t>
      </w:r>
      <w:r w:rsidRPr="002D3320">
        <w:rPr>
          <w:rFonts w:cstheme="minorHAnsi"/>
          <w:sz w:val="24"/>
          <w:szCs w:val="24"/>
        </w:rPr>
        <w:t>Connectivité moyenne de la volatilité à court terme (1-5 jours de négociation).</w:t>
      </w:r>
    </w:p>
    <w:tbl>
      <w:tblPr>
        <w:tblStyle w:val="TableauGrille1Clair"/>
        <w:tblW w:w="11166" w:type="dxa"/>
        <w:tblInd w:w="-875" w:type="dxa"/>
        <w:tblLook w:val="04A0" w:firstRow="1" w:lastRow="0" w:firstColumn="1" w:lastColumn="0" w:noHBand="0" w:noVBand="1"/>
      </w:tblPr>
      <w:tblGrid>
        <w:gridCol w:w="1221"/>
        <w:gridCol w:w="1214"/>
        <w:gridCol w:w="1217"/>
        <w:gridCol w:w="1217"/>
        <w:gridCol w:w="1217"/>
        <w:gridCol w:w="1217"/>
        <w:gridCol w:w="1223"/>
        <w:gridCol w:w="1217"/>
        <w:gridCol w:w="1423"/>
      </w:tblGrid>
      <w:tr w:rsidR="002D3320" w:rsidRPr="00C25DF4" w14:paraId="0B11AACC" w14:textId="77777777" w:rsidTr="00CB5D4D">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221" w:type="dxa"/>
          </w:tcPr>
          <w:p w14:paraId="173ACD9D" w14:textId="77777777" w:rsidR="002D3320" w:rsidRPr="002D3320" w:rsidRDefault="002D3320" w:rsidP="002D3320">
            <w:pPr>
              <w:spacing w:line="360" w:lineRule="auto"/>
              <w:jc w:val="both"/>
              <w:rPr>
                <w:rFonts w:asciiTheme="majorBidi" w:hAnsiTheme="majorBidi" w:cstheme="majorBidi"/>
                <w:b w:val="0"/>
                <w:bCs w:val="0"/>
                <w:sz w:val="24"/>
                <w:szCs w:val="24"/>
                <w:lang w:val="fr-FR"/>
              </w:rPr>
            </w:pPr>
          </w:p>
        </w:tc>
        <w:tc>
          <w:tcPr>
            <w:tcW w:w="1214" w:type="dxa"/>
          </w:tcPr>
          <w:p w14:paraId="45EEAE1E"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BTC</w:t>
            </w:r>
          </w:p>
        </w:tc>
        <w:tc>
          <w:tcPr>
            <w:tcW w:w="1217" w:type="dxa"/>
          </w:tcPr>
          <w:p w14:paraId="709A8392"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ETH</w:t>
            </w:r>
          </w:p>
        </w:tc>
        <w:tc>
          <w:tcPr>
            <w:tcW w:w="1217" w:type="dxa"/>
          </w:tcPr>
          <w:p w14:paraId="72B66D99"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LTC</w:t>
            </w:r>
          </w:p>
        </w:tc>
        <w:tc>
          <w:tcPr>
            <w:tcW w:w="1217" w:type="dxa"/>
          </w:tcPr>
          <w:p w14:paraId="5B9786A2"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ADA</w:t>
            </w:r>
          </w:p>
        </w:tc>
        <w:tc>
          <w:tcPr>
            <w:tcW w:w="1217" w:type="dxa"/>
          </w:tcPr>
          <w:p w14:paraId="5F14DF06"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XRP</w:t>
            </w:r>
          </w:p>
        </w:tc>
        <w:tc>
          <w:tcPr>
            <w:tcW w:w="1223" w:type="dxa"/>
          </w:tcPr>
          <w:p w14:paraId="3EBCD1C8"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XLM</w:t>
            </w:r>
          </w:p>
        </w:tc>
        <w:tc>
          <w:tcPr>
            <w:tcW w:w="1217" w:type="dxa"/>
          </w:tcPr>
          <w:p w14:paraId="6CC8AF02"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FSI</w:t>
            </w:r>
          </w:p>
        </w:tc>
        <w:tc>
          <w:tcPr>
            <w:tcW w:w="1423" w:type="dxa"/>
          </w:tcPr>
          <w:p w14:paraId="69EED942"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fr-FR"/>
              </w:rPr>
            </w:pPr>
            <w:r w:rsidRPr="00C25DF4">
              <w:rPr>
                <w:rFonts w:asciiTheme="majorBidi" w:hAnsiTheme="majorBidi" w:cstheme="majorBidi"/>
                <w:b w:val="0"/>
                <w:bCs w:val="0"/>
                <w:sz w:val="24"/>
                <w:szCs w:val="24"/>
                <w:lang w:val="fr-FR"/>
              </w:rPr>
              <w:t>FROM</w:t>
            </w:r>
          </w:p>
        </w:tc>
      </w:tr>
      <w:tr w:rsidR="002D3320" w:rsidRPr="00C25DF4" w14:paraId="287C2787" w14:textId="77777777" w:rsidTr="00CB5D4D">
        <w:trPr>
          <w:trHeight w:val="283"/>
        </w:trPr>
        <w:tc>
          <w:tcPr>
            <w:cnfStyle w:val="001000000000" w:firstRow="0" w:lastRow="0" w:firstColumn="1" w:lastColumn="0" w:oddVBand="0" w:evenVBand="0" w:oddHBand="0" w:evenHBand="0" w:firstRowFirstColumn="0" w:firstRowLastColumn="0" w:lastRowFirstColumn="0" w:lastRowLastColumn="0"/>
            <w:tcW w:w="1221" w:type="dxa"/>
          </w:tcPr>
          <w:p w14:paraId="3FD20437"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BTC</w:t>
            </w:r>
          </w:p>
        </w:tc>
        <w:tc>
          <w:tcPr>
            <w:tcW w:w="1214" w:type="dxa"/>
          </w:tcPr>
          <w:p w14:paraId="76F87CF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21.67</w:t>
            </w:r>
          </w:p>
        </w:tc>
        <w:tc>
          <w:tcPr>
            <w:tcW w:w="1217" w:type="dxa"/>
          </w:tcPr>
          <w:p w14:paraId="35DFA29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14.96</w:t>
            </w:r>
          </w:p>
        </w:tc>
        <w:tc>
          <w:tcPr>
            <w:tcW w:w="1217" w:type="dxa"/>
          </w:tcPr>
          <w:p w14:paraId="5F6C786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13.62</w:t>
            </w:r>
          </w:p>
        </w:tc>
        <w:tc>
          <w:tcPr>
            <w:tcW w:w="1217" w:type="dxa"/>
          </w:tcPr>
          <w:p w14:paraId="5F53FE8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11.21</w:t>
            </w:r>
          </w:p>
        </w:tc>
        <w:tc>
          <w:tcPr>
            <w:tcW w:w="1217" w:type="dxa"/>
          </w:tcPr>
          <w:p w14:paraId="3459601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9.86</w:t>
            </w:r>
          </w:p>
        </w:tc>
        <w:tc>
          <w:tcPr>
            <w:tcW w:w="1223" w:type="dxa"/>
          </w:tcPr>
          <w:p w14:paraId="63C7DEF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10.02</w:t>
            </w:r>
          </w:p>
        </w:tc>
        <w:tc>
          <w:tcPr>
            <w:tcW w:w="1217" w:type="dxa"/>
          </w:tcPr>
          <w:p w14:paraId="05C0B12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0.22</w:t>
            </w:r>
          </w:p>
        </w:tc>
        <w:tc>
          <w:tcPr>
            <w:tcW w:w="1423" w:type="dxa"/>
          </w:tcPr>
          <w:p w14:paraId="4C59B4D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59.89</w:t>
            </w:r>
          </w:p>
        </w:tc>
      </w:tr>
      <w:tr w:rsidR="002D3320" w:rsidRPr="00C25DF4" w14:paraId="174961A7" w14:textId="77777777" w:rsidTr="00CB5D4D">
        <w:trPr>
          <w:trHeight w:val="269"/>
        </w:trPr>
        <w:tc>
          <w:tcPr>
            <w:cnfStyle w:val="001000000000" w:firstRow="0" w:lastRow="0" w:firstColumn="1" w:lastColumn="0" w:oddVBand="0" w:evenVBand="0" w:oddHBand="0" w:evenHBand="0" w:firstRowFirstColumn="0" w:firstRowLastColumn="0" w:lastRowFirstColumn="0" w:lastRowLastColumn="0"/>
            <w:tcW w:w="1221" w:type="dxa"/>
          </w:tcPr>
          <w:p w14:paraId="3E052416"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ETH</w:t>
            </w:r>
          </w:p>
        </w:tc>
        <w:tc>
          <w:tcPr>
            <w:tcW w:w="1214" w:type="dxa"/>
          </w:tcPr>
          <w:p w14:paraId="664622C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14.41</w:t>
            </w:r>
          </w:p>
        </w:tc>
        <w:tc>
          <w:tcPr>
            <w:tcW w:w="1217" w:type="dxa"/>
          </w:tcPr>
          <w:p w14:paraId="2BB019E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21.10</w:t>
            </w:r>
          </w:p>
        </w:tc>
        <w:tc>
          <w:tcPr>
            <w:tcW w:w="1217" w:type="dxa"/>
          </w:tcPr>
          <w:p w14:paraId="1DDDCFCA"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13.72</w:t>
            </w:r>
          </w:p>
        </w:tc>
        <w:tc>
          <w:tcPr>
            <w:tcW w:w="1217" w:type="dxa"/>
          </w:tcPr>
          <w:p w14:paraId="6179464E"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11.91</w:t>
            </w:r>
          </w:p>
        </w:tc>
        <w:tc>
          <w:tcPr>
            <w:tcW w:w="1217" w:type="dxa"/>
          </w:tcPr>
          <w:p w14:paraId="048B1AF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10.71</w:t>
            </w:r>
          </w:p>
        </w:tc>
        <w:tc>
          <w:tcPr>
            <w:tcW w:w="1223" w:type="dxa"/>
          </w:tcPr>
          <w:p w14:paraId="67956C0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10.10</w:t>
            </w:r>
          </w:p>
        </w:tc>
        <w:tc>
          <w:tcPr>
            <w:tcW w:w="1217" w:type="dxa"/>
          </w:tcPr>
          <w:p w14:paraId="6A5D8E7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0.25</w:t>
            </w:r>
          </w:p>
        </w:tc>
        <w:tc>
          <w:tcPr>
            <w:tcW w:w="1423" w:type="dxa"/>
          </w:tcPr>
          <w:p w14:paraId="222F9A9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61.08</w:t>
            </w:r>
          </w:p>
        </w:tc>
      </w:tr>
      <w:tr w:rsidR="002D3320" w:rsidRPr="00C25DF4" w14:paraId="69DC383F" w14:textId="77777777" w:rsidTr="00CB5D4D">
        <w:trPr>
          <w:trHeight w:val="269"/>
        </w:trPr>
        <w:tc>
          <w:tcPr>
            <w:cnfStyle w:val="001000000000" w:firstRow="0" w:lastRow="0" w:firstColumn="1" w:lastColumn="0" w:oddVBand="0" w:evenVBand="0" w:oddHBand="0" w:evenHBand="0" w:firstRowFirstColumn="0" w:firstRowLastColumn="0" w:lastRowFirstColumn="0" w:lastRowLastColumn="0"/>
            <w:tcW w:w="1221" w:type="dxa"/>
          </w:tcPr>
          <w:p w14:paraId="75340740"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LTC</w:t>
            </w:r>
          </w:p>
        </w:tc>
        <w:tc>
          <w:tcPr>
            <w:tcW w:w="1214" w:type="dxa"/>
          </w:tcPr>
          <w:p w14:paraId="68071C4E"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13.85</w:t>
            </w:r>
          </w:p>
        </w:tc>
        <w:tc>
          <w:tcPr>
            <w:tcW w:w="1217" w:type="dxa"/>
          </w:tcPr>
          <w:p w14:paraId="73D5D87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14.57</w:t>
            </w:r>
          </w:p>
        </w:tc>
        <w:tc>
          <w:tcPr>
            <w:tcW w:w="1217" w:type="dxa"/>
          </w:tcPr>
          <w:p w14:paraId="6DDF32C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21.97</w:t>
            </w:r>
          </w:p>
        </w:tc>
        <w:tc>
          <w:tcPr>
            <w:tcW w:w="1217" w:type="dxa"/>
          </w:tcPr>
          <w:p w14:paraId="26AC412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11.71</w:t>
            </w:r>
          </w:p>
        </w:tc>
        <w:tc>
          <w:tcPr>
            <w:tcW w:w="1217" w:type="dxa"/>
          </w:tcPr>
          <w:p w14:paraId="394B6F6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10.48</w:t>
            </w:r>
          </w:p>
        </w:tc>
        <w:tc>
          <w:tcPr>
            <w:tcW w:w="1223" w:type="dxa"/>
          </w:tcPr>
          <w:p w14:paraId="1DFE534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10.10</w:t>
            </w:r>
          </w:p>
        </w:tc>
        <w:tc>
          <w:tcPr>
            <w:tcW w:w="1217" w:type="dxa"/>
          </w:tcPr>
          <w:p w14:paraId="40CEC5B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0.27</w:t>
            </w:r>
          </w:p>
        </w:tc>
        <w:tc>
          <w:tcPr>
            <w:tcW w:w="1423" w:type="dxa"/>
          </w:tcPr>
          <w:p w14:paraId="5783799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60.98</w:t>
            </w:r>
          </w:p>
        </w:tc>
      </w:tr>
      <w:tr w:rsidR="002D3320" w:rsidRPr="00C25DF4" w14:paraId="0DBC0B49" w14:textId="77777777" w:rsidTr="00CB5D4D">
        <w:trPr>
          <w:trHeight w:val="269"/>
        </w:trPr>
        <w:tc>
          <w:tcPr>
            <w:cnfStyle w:val="001000000000" w:firstRow="0" w:lastRow="0" w:firstColumn="1" w:lastColumn="0" w:oddVBand="0" w:evenVBand="0" w:oddHBand="0" w:evenHBand="0" w:firstRowFirstColumn="0" w:firstRowLastColumn="0" w:lastRowFirstColumn="0" w:lastRowLastColumn="0"/>
            <w:tcW w:w="1221" w:type="dxa"/>
          </w:tcPr>
          <w:p w14:paraId="4066B10A"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ADA</w:t>
            </w:r>
          </w:p>
        </w:tc>
        <w:tc>
          <w:tcPr>
            <w:tcW w:w="1214" w:type="dxa"/>
          </w:tcPr>
          <w:p w14:paraId="3EA2928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11.15</w:t>
            </w:r>
          </w:p>
        </w:tc>
        <w:tc>
          <w:tcPr>
            <w:tcW w:w="1217" w:type="dxa"/>
          </w:tcPr>
          <w:p w14:paraId="7DDCA40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12.36</w:t>
            </w:r>
          </w:p>
        </w:tc>
        <w:tc>
          <w:tcPr>
            <w:tcW w:w="1217" w:type="dxa"/>
          </w:tcPr>
          <w:p w14:paraId="148D8FF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11.49</w:t>
            </w:r>
          </w:p>
        </w:tc>
        <w:tc>
          <w:tcPr>
            <w:tcW w:w="1217" w:type="dxa"/>
          </w:tcPr>
          <w:p w14:paraId="15D8AE1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21.59</w:t>
            </w:r>
          </w:p>
        </w:tc>
        <w:tc>
          <w:tcPr>
            <w:tcW w:w="1217" w:type="dxa"/>
          </w:tcPr>
          <w:p w14:paraId="349BFE3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11.61</w:t>
            </w:r>
          </w:p>
        </w:tc>
        <w:tc>
          <w:tcPr>
            <w:tcW w:w="1223" w:type="dxa"/>
          </w:tcPr>
          <w:p w14:paraId="5F73D3C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13.54</w:t>
            </w:r>
          </w:p>
        </w:tc>
        <w:tc>
          <w:tcPr>
            <w:tcW w:w="1217" w:type="dxa"/>
          </w:tcPr>
          <w:p w14:paraId="7991412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0.27</w:t>
            </w:r>
          </w:p>
        </w:tc>
        <w:tc>
          <w:tcPr>
            <w:tcW w:w="1423" w:type="dxa"/>
          </w:tcPr>
          <w:p w14:paraId="547E562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60.43</w:t>
            </w:r>
          </w:p>
        </w:tc>
      </w:tr>
      <w:tr w:rsidR="002D3320" w:rsidRPr="00C25DF4" w14:paraId="29A55F0E" w14:textId="77777777" w:rsidTr="00CB5D4D">
        <w:trPr>
          <w:trHeight w:val="283"/>
        </w:trPr>
        <w:tc>
          <w:tcPr>
            <w:cnfStyle w:val="001000000000" w:firstRow="0" w:lastRow="0" w:firstColumn="1" w:lastColumn="0" w:oddVBand="0" w:evenVBand="0" w:oddHBand="0" w:evenHBand="0" w:firstRowFirstColumn="0" w:firstRowLastColumn="0" w:lastRowFirstColumn="0" w:lastRowLastColumn="0"/>
            <w:tcW w:w="1221" w:type="dxa"/>
          </w:tcPr>
          <w:p w14:paraId="02099F54"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XRP</w:t>
            </w:r>
          </w:p>
        </w:tc>
        <w:tc>
          <w:tcPr>
            <w:tcW w:w="1214" w:type="dxa"/>
          </w:tcPr>
          <w:p w14:paraId="463208A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10.11</w:t>
            </w:r>
          </w:p>
        </w:tc>
        <w:tc>
          <w:tcPr>
            <w:tcW w:w="1217" w:type="dxa"/>
          </w:tcPr>
          <w:p w14:paraId="0882857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11.51</w:t>
            </w:r>
          </w:p>
        </w:tc>
        <w:tc>
          <w:tcPr>
            <w:tcW w:w="1217" w:type="dxa"/>
          </w:tcPr>
          <w:p w14:paraId="12465FA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10.84</w:t>
            </w:r>
          </w:p>
        </w:tc>
        <w:tc>
          <w:tcPr>
            <w:tcW w:w="1217" w:type="dxa"/>
          </w:tcPr>
          <w:p w14:paraId="30D0391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12.08</w:t>
            </w:r>
          </w:p>
        </w:tc>
        <w:tc>
          <w:tcPr>
            <w:tcW w:w="1217" w:type="dxa"/>
          </w:tcPr>
          <w:p w14:paraId="3F2B4D1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22.96</w:t>
            </w:r>
          </w:p>
        </w:tc>
        <w:tc>
          <w:tcPr>
            <w:tcW w:w="1223" w:type="dxa"/>
          </w:tcPr>
          <w:p w14:paraId="7B3989D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14.79</w:t>
            </w:r>
          </w:p>
        </w:tc>
        <w:tc>
          <w:tcPr>
            <w:tcW w:w="1217" w:type="dxa"/>
          </w:tcPr>
          <w:p w14:paraId="69696A5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0.16</w:t>
            </w:r>
          </w:p>
        </w:tc>
        <w:tc>
          <w:tcPr>
            <w:tcW w:w="1423" w:type="dxa"/>
          </w:tcPr>
          <w:p w14:paraId="0C22AF2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59.48</w:t>
            </w:r>
          </w:p>
        </w:tc>
      </w:tr>
      <w:tr w:rsidR="002D3320" w:rsidRPr="00C25DF4" w14:paraId="51599D07" w14:textId="77777777" w:rsidTr="00CB5D4D">
        <w:trPr>
          <w:trHeight w:val="269"/>
        </w:trPr>
        <w:tc>
          <w:tcPr>
            <w:cnfStyle w:val="001000000000" w:firstRow="0" w:lastRow="0" w:firstColumn="1" w:lastColumn="0" w:oddVBand="0" w:evenVBand="0" w:oddHBand="0" w:evenHBand="0" w:firstRowFirstColumn="0" w:firstRowLastColumn="0" w:lastRowFirstColumn="0" w:lastRowLastColumn="0"/>
            <w:tcW w:w="1221" w:type="dxa"/>
          </w:tcPr>
          <w:p w14:paraId="483C5C4D"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XLM</w:t>
            </w:r>
          </w:p>
        </w:tc>
        <w:tc>
          <w:tcPr>
            <w:tcW w:w="1214" w:type="dxa"/>
          </w:tcPr>
          <w:p w14:paraId="4EADC30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10.65</w:t>
            </w:r>
          </w:p>
        </w:tc>
        <w:tc>
          <w:tcPr>
            <w:tcW w:w="1217" w:type="dxa"/>
          </w:tcPr>
          <w:p w14:paraId="7B1EA65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10.90</w:t>
            </w:r>
          </w:p>
        </w:tc>
        <w:tc>
          <w:tcPr>
            <w:tcW w:w="1217" w:type="dxa"/>
          </w:tcPr>
          <w:p w14:paraId="61E08BE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10.09</w:t>
            </w:r>
          </w:p>
        </w:tc>
        <w:tc>
          <w:tcPr>
            <w:tcW w:w="1217" w:type="dxa"/>
          </w:tcPr>
          <w:p w14:paraId="7E63382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13.67</w:t>
            </w:r>
          </w:p>
        </w:tc>
        <w:tc>
          <w:tcPr>
            <w:tcW w:w="1217" w:type="dxa"/>
          </w:tcPr>
          <w:p w14:paraId="3F6D8B2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14.47</w:t>
            </w:r>
          </w:p>
        </w:tc>
        <w:tc>
          <w:tcPr>
            <w:tcW w:w="1223" w:type="dxa"/>
          </w:tcPr>
          <w:p w14:paraId="68803B7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22.24</w:t>
            </w:r>
          </w:p>
        </w:tc>
        <w:tc>
          <w:tcPr>
            <w:tcW w:w="1217" w:type="dxa"/>
          </w:tcPr>
          <w:p w14:paraId="1A77594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0.26</w:t>
            </w:r>
          </w:p>
        </w:tc>
        <w:tc>
          <w:tcPr>
            <w:tcW w:w="1423" w:type="dxa"/>
          </w:tcPr>
          <w:p w14:paraId="6FA96A2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59.29</w:t>
            </w:r>
          </w:p>
        </w:tc>
      </w:tr>
      <w:tr w:rsidR="002D3320" w:rsidRPr="00C25DF4" w14:paraId="322C0BDF" w14:textId="77777777" w:rsidTr="00CB5D4D">
        <w:trPr>
          <w:trHeight w:val="269"/>
        </w:trPr>
        <w:tc>
          <w:tcPr>
            <w:cnfStyle w:val="001000000000" w:firstRow="0" w:lastRow="0" w:firstColumn="1" w:lastColumn="0" w:oddVBand="0" w:evenVBand="0" w:oddHBand="0" w:evenHBand="0" w:firstRowFirstColumn="0" w:firstRowLastColumn="0" w:lastRowFirstColumn="0" w:lastRowLastColumn="0"/>
            <w:tcW w:w="1221" w:type="dxa"/>
          </w:tcPr>
          <w:p w14:paraId="75E9E6FD"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FSI</w:t>
            </w:r>
          </w:p>
        </w:tc>
        <w:tc>
          <w:tcPr>
            <w:tcW w:w="1214" w:type="dxa"/>
          </w:tcPr>
          <w:p w14:paraId="294F62C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0.37</w:t>
            </w:r>
          </w:p>
        </w:tc>
        <w:tc>
          <w:tcPr>
            <w:tcW w:w="1217" w:type="dxa"/>
          </w:tcPr>
          <w:p w14:paraId="658C8736"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0.40</w:t>
            </w:r>
          </w:p>
        </w:tc>
        <w:tc>
          <w:tcPr>
            <w:tcW w:w="1217" w:type="dxa"/>
          </w:tcPr>
          <w:p w14:paraId="5B2C218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0.36</w:t>
            </w:r>
          </w:p>
        </w:tc>
        <w:tc>
          <w:tcPr>
            <w:tcW w:w="1217" w:type="dxa"/>
          </w:tcPr>
          <w:p w14:paraId="470FC62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0.49</w:t>
            </w:r>
          </w:p>
        </w:tc>
        <w:tc>
          <w:tcPr>
            <w:tcW w:w="1217" w:type="dxa"/>
          </w:tcPr>
          <w:p w14:paraId="4331E59E"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0.40</w:t>
            </w:r>
          </w:p>
        </w:tc>
        <w:tc>
          <w:tcPr>
            <w:tcW w:w="1223" w:type="dxa"/>
          </w:tcPr>
          <w:p w14:paraId="6C42A64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0.38</w:t>
            </w:r>
          </w:p>
        </w:tc>
        <w:tc>
          <w:tcPr>
            <w:tcW w:w="1217" w:type="dxa"/>
          </w:tcPr>
          <w:p w14:paraId="53F0ECD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44.85</w:t>
            </w:r>
          </w:p>
        </w:tc>
        <w:tc>
          <w:tcPr>
            <w:tcW w:w="1423" w:type="dxa"/>
          </w:tcPr>
          <w:p w14:paraId="5CBBF828"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2.40</w:t>
            </w:r>
          </w:p>
        </w:tc>
      </w:tr>
      <w:tr w:rsidR="002D3320" w:rsidRPr="00C25DF4" w14:paraId="3D52AB1E" w14:textId="77777777" w:rsidTr="00CB5D4D">
        <w:trPr>
          <w:trHeight w:val="283"/>
        </w:trPr>
        <w:tc>
          <w:tcPr>
            <w:cnfStyle w:val="001000000000" w:firstRow="0" w:lastRow="0" w:firstColumn="1" w:lastColumn="0" w:oddVBand="0" w:evenVBand="0" w:oddHBand="0" w:evenHBand="0" w:firstRowFirstColumn="0" w:firstRowLastColumn="0" w:lastRowFirstColumn="0" w:lastRowLastColumn="0"/>
            <w:tcW w:w="1221" w:type="dxa"/>
          </w:tcPr>
          <w:p w14:paraId="5ED02EB8"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TO</w:t>
            </w:r>
          </w:p>
        </w:tc>
        <w:tc>
          <w:tcPr>
            <w:tcW w:w="1214" w:type="dxa"/>
          </w:tcPr>
          <w:p w14:paraId="739D3856"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60.05</w:t>
            </w:r>
          </w:p>
        </w:tc>
        <w:tc>
          <w:tcPr>
            <w:tcW w:w="1217" w:type="dxa"/>
          </w:tcPr>
          <w:p w14:paraId="71871FDE"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64.45</w:t>
            </w:r>
          </w:p>
        </w:tc>
        <w:tc>
          <w:tcPr>
            <w:tcW w:w="1217" w:type="dxa"/>
          </w:tcPr>
          <w:p w14:paraId="67DE85C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60.11</w:t>
            </w:r>
          </w:p>
        </w:tc>
        <w:tc>
          <w:tcPr>
            <w:tcW w:w="1217" w:type="dxa"/>
          </w:tcPr>
          <w:p w14:paraId="5EBE0B9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61.08</w:t>
            </w:r>
          </w:p>
        </w:tc>
        <w:tc>
          <w:tcPr>
            <w:tcW w:w="1217" w:type="dxa"/>
          </w:tcPr>
          <w:p w14:paraId="3BCE73F8"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57.53</w:t>
            </w:r>
          </w:p>
        </w:tc>
        <w:tc>
          <w:tcPr>
            <w:tcW w:w="1223" w:type="dxa"/>
          </w:tcPr>
          <w:p w14:paraId="7A43D71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58.92</w:t>
            </w:r>
          </w:p>
        </w:tc>
        <w:tc>
          <w:tcPr>
            <w:tcW w:w="1217" w:type="dxa"/>
          </w:tcPr>
          <w:p w14:paraId="179EAF8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1.42</w:t>
            </w:r>
          </w:p>
        </w:tc>
        <w:tc>
          <w:tcPr>
            <w:tcW w:w="1423" w:type="dxa"/>
          </w:tcPr>
          <w:p w14:paraId="3DC157D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363.55</w:t>
            </w:r>
          </w:p>
        </w:tc>
      </w:tr>
      <w:tr w:rsidR="002D3320" w:rsidRPr="00C25DF4" w14:paraId="3B4B2212" w14:textId="77777777" w:rsidTr="00CB5D4D">
        <w:trPr>
          <w:trHeight w:val="269"/>
        </w:trPr>
        <w:tc>
          <w:tcPr>
            <w:cnfStyle w:val="001000000000" w:firstRow="0" w:lastRow="0" w:firstColumn="1" w:lastColumn="0" w:oddVBand="0" w:evenVBand="0" w:oddHBand="0" w:evenHBand="0" w:firstRowFirstColumn="0" w:firstRowLastColumn="0" w:lastRowFirstColumn="0" w:lastRowLastColumn="0"/>
            <w:tcW w:w="1221" w:type="dxa"/>
          </w:tcPr>
          <w:p w14:paraId="277B6E99"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Net</w:t>
            </w:r>
          </w:p>
        </w:tc>
        <w:tc>
          <w:tcPr>
            <w:tcW w:w="1214" w:type="dxa"/>
          </w:tcPr>
          <w:p w14:paraId="454EAF1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0.16</w:t>
            </w:r>
          </w:p>
        </w:tc>
        <w:tc>
          <w:tcPr>
            <w:tcW w:w="1217" w:type="dxa"/>
          </w:tcPr>
          <w:p w14:paraId="76A0A29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3.37</w:t>
            </w:r>
          </w:p>
        </w:tc>
        <w:tc>
          <w:tcPr>
            <w:tcW w:w="1217" w:type="dxa"/>
          </w:tcPr>
          <w:p w14:paraId="0B8B018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-0.87</w:t>
            </w:r>
          </w:p>
        </w:tc>
        <w:tc>
          <w:tcPr>
            <w:tcW w:w="1217" w:type="dxa"/>
          </w:tcPr>
          <w:p w14:paraId="6EC7782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0.66</w:t>
            </w:r>
          </w:p>
        </w:tc>
        <w:tc>
          <w:tcPr>
            <w:tcW w:w="1217" w:type="dxa"/>
          </w:tcPr>
          <w:p w14:paraId="7558782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-1.95</w:t>
            </w:r>
          </w:p>
        </w:tc>
        <w:tc>
          <w:tcPr>
            <w:tcW w:w="1223" w:type="dxa"/>
          </w:tcPr>
          <w:p w14:paraId="5E058ACA"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-0.38</w:t>
            </w:r>
          </w:p>
        </w:tc>
        <w:tc>
          <w:tcPr>
            <w:tcW w:w="1217" w:type="dxa"/>
          </w:tcPr>
          <w:p w14:paraId="15AA4A8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C25DF4">
              <w:rPr>
                <w:rFonts w:asciiTheme="majorBidi" w:hAnsiTheme="majorBidi" w:cstheme="majorBidi"/>
                <w:sz w:val="24"/>
                <w:szCs w:val="24"/>
                <w:lang w:val="fr-FR"/>
              </w:rPr>
              <w:t>-0.98</w:t>
            </w:r>
          </w:p>
        </w:tc>
        <w:tc>
          <w:tcPr>
            <w:tcW w:w="1423" w:type="dxa"/>
          </w:tcPr>
          <w:p w14:paraId="40F96958"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TCI / 60.59</w:t>
            </w:r>
          </w:p>
        </w:tc>
      </w:tr>
    </w:tbl>
    <w:p w14:paraId="4C66E2DB" w14:textId="77777777" w:rsidR="002D3320" w:rsidRDefault="002D3320" w:rsidP="002D3320">
      <w:pPr>
        <w:pStyle w:val="Paragraphedeliste"/>
        <w:ind w:left="360"/>
        <w:rPr>
          <w:rFonts w:asciiTheme="majorBidi" w:hAnsiTheme="majorBidi" w:cstheme="majorBidi"/>
          <w:b/>
          <w:bCs/>
          <w:sz w:val="24"/>
          <w:szCs w:val="24"/>
        </w:rPr>
      </w:pPr>
    </w:p>
    <w:p w14:paraId="2219CEFE" w14:textId="77777777" w:rsidR="002D3320" w:rsidRPr="002D3320" w:rsidRDefault="002D3320" w:rsidP="002D3320">
      <w:pPr>
        <w:rPr>
          <w:rFonts w:cstheme="minorHAnsi"/>
          <w:b/>
          <w:bCs/>
          <w:sz w:val="24"/>
          <w:szCs w:val="24"/>
        </w:rPr>
      </w:pPr>
      <w:r w:rsidRPr="002D3320">
        <w:rPr>
          <w:rFonts w:cstheme="minorHAnsi"/>
          <w:b/>
          <w:bCs/>
          <w:sz w:val="24"/>
          <w:szCs w:val="24"/>
        </w:rPr>
        <w:t xml:space="preserve">Tableau 4. </w:t>
      </w:r>
      <w:r w:rsidRPr="002D3320">
        <w:rPr>
          <w:rFonts w:cstheme="minorHAnsi"/>
          <w:sz w:val="24"/>
          <w:szCs w:val="24"/>
        </w:rPr>
        <w:t>Connectivité moyenne de la volatilité sur le long terme (5 jours de négociation à l'infini).</w:t>
      </w:r>
    </w:p>
    <w:tbl>
      <w:tblPr>
        <w:tblStyle w:val="TableauGrille1Clair"/>
        <w:tblpPr w:leftFromText="180" w:rightFromText="180" w:vertAnchor="text" w:horzAnchor="margin" w:tblpXSpec="center" w:tblpY="219"/>
        <w:tblW w:w="11109" w:type="dxa"/>
        <w:tblLook w:val="04A0" w:firstRow="1" w:lastRow="0" w:firstColumn="1" w:lastColumn="0" w:noHBand="0" w:noVBand="1"/>
      </w:tblPr>
      <w:tblGrid>
        <w:gridCol w:w="1229"/>
        <w:gridCol w:w="1228"/>
        <w:gridCol w:w="1228"/>
        <w:gridCol w:w="1228"/>
        <w:gridCol w:w="1228"/>
        <w:gridCol w:w="1228"/>
        <w:gridCol w:w="1228"/>
        <w:gridCol w:w="1228"/>
        <w:gridCol w:w="1284"/>
      </w:tblGrid>
      <w:tr w:rsidR="002D3320" w:rsidRPr="00C25DF4" w14:paraId="07D19476" w14:textId="77777777" w:rsidTr="00CB5D4D">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229" w:type="dxa"/>
          </w:tcPr>
          <w:p w14:paraId="53269B2C" w14:textId="77777777" w:rsidR="002D3320" w:rsidRPr="002D3320" w:rsidRDefault="002D3320" w:rsidP="002D3320">
            <w:pPr>
              <w:spacing w:line="360" w:lineRule="auto"/>
              <w:jc w:val="both"/>
              <w:rPr>
                <w:rFonts w:asciiTheme="majorBidi" w:hAnsiTheme="majorBidi" w:cstheme="majorBidi"/>
                <w:b w:val="0"/>
                <w:bCs w:val="0"/>
                <w:sz w:val="24"/>
                <w:szCs w:val="24"/>
                <w:lang w:val="fr-FR"/>
              </w:rPr>
            </w:pPr>
          </w:p>
        </w:tc>
        <w:tc>
          <w:tcPr>
            <w:tcW w:w="1228" w:type="dxa"/>
          </w:tcPr>
          <w:p w14:paraId="0B1BC9F8"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BTC</w:t>
            </w:r>
          </w:p>
        </w:tc>
        <w:tc>
          <w:tcPr>
            <w:tcW w:w="1228" w:type="dxa"/>
          </w:tcPr>
          <w:p w14:paraId="441FE08C"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ETH</w:t>
            </w:r>
          </w:p>
        </w:tc>
        <w:tc>
          <w:tcPr>
            <w:tcW w:w="1228" w:type="dxa"/>
          </w:tcPr>
          <w:p w14:paraId="15F63035"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LTC</w:t>
            </w:r>
          </w:p>
        </w:tc>
        <w:tc>
          <w:tcPr>
            <w:tcW w:w="1228" w:type="dxa"/>
          </w:tcPr>
          <w:p w14:paraId="20A41076"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ADA</w:t>
            </w:r>
          </w:p>
        </w:tc>
        <w:tc>
          <w:tcPr>
            <w:tcW w:w="1228" w:type="dxa"/>
          </w:tcPr>
          <w:p w14:paraId="511842FA"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XRP</w:t>
            </w:r>
          </w:p>
        </w:tc>
        <w:tc>
          <w:tcPr>
            <w:tcW w:w="1228" w:type="dxa"/>
          </w:tcPr>
          <w:p w14:paraId="2ACE4EEF"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XLM</w:t>
            </w:r>
          </w:p>
        </w:tc>
        <w:tc>
          <w:tcPr>
            <w:tcW w:w="1228" w:type="dxa"/>
          </w:tcPr>
          <w:p w14:paraId="47B6DFB2"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FSI</w:t>
            </w:r>
          </w:p>
        </w:tc>
        <w:tc>
          <w:tcPr>
            <w:tcW w:w="1284" w:type="dxa"/>
          </w:tcPr>
          <w:p w14:paraId="4DB08455" w14:textId="77777777" w:rsidR="002D3320" w:rsidRPr="00C25DF4" w:rsidRDefault="002D3320" w:rsidP="002D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C25DF4">
              <w:rPr>
                <w:rFonts w:asciiTheme="majorBidi" w:hAnsiTheme="majorBidi" w:cstheme="majorBidi"/>
                <w:b w:val="0"/>
                <w:bCs w:val="0"/>
                <w:sz w:val="24"/>
                <w:szCs w:val="24"/>
              </w:rPr>
              <w:t>FROM</w:t>
            </w:r>
          </w:p>
        </w:tc>
      </w:tr>
      <w:tr w:rsidR="002D3320" w:rsidRPr="00C25DF4" w14:paraId="45950B1B" w14:textId="77777777" w:rsidTr="00CB5D4D">
        <w:trPr>
          <w:trHeight w:val="157"/>
        </w:trPr>
        <w:tc>
          <w:tcPr>
            <w:cnfStyle w:val="001000000000" w:firstRow="0" w:lastRow="0" w:firstColumn="1" w:lastColumn="0" w:oddVBand="0" w:evenVBand="0" w:oddHBand="0" w:evenHBand="0" w:firstRowFirstColumn="0" w:firstRowLastColumn="0" w:lastRowFirstColumn="0" w:lastRowLastColumn="0"/>
            <w:tcW w:w="1229" w:type="dxa"/>
          </w:tcPr>
          <w:p w14:paraId="0E3935B5"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BTC</w:t>
            </w:r>
          </w:p>
        </w:tc>
        <w:tc>
          <w:tcPr>
            <w:tcW w:w="1228" w:type="dxa"/>
          </w:tcPr>
          <w:p w14:paraId="43CE152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5.10</w:t>
            </w:r>
          </w:p>
        </w:tc>
        <w:tc>
          <w:tcPr>
            <w:tcW w:w="1228" w:type="dxa"/>
          </w:tcPr>
          <w:p w14:paraId="540D6B8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3.37</w:t>
            </w:r>
          </w:p>
        </w:tc>
        <w:tc>
          <w:tcPr>
            <w:tcW w:w="1228" w:type="dxa"/>
          </w:tcPr>
          <w:p w14:paraId="21E3F4E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3.09</w:t>
            </w:r>
          </w:p>
        </w:tc>
        <w:tc>
          <w:tcPr>
            <w:tcW w:w="1228" w:type="dxa"/>
          </w:tcPr>
          <w:p w14:paraId="41367B3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2.53</w:t>
            </w:r>
          </w:p>
        </w:tc>
        <w:tc>
          <w:tcPr>
            <w:tcW w:w="1228" w:type="dxa"/>
          </w:tcPr>
          <w:p w14:paraId="6220A84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2.08</w:t>
            </w:r>
          </w:p>
        </w:tc>
        <w:tc>
          <w:tcPr>
            <w:tcW w:w="1228" w:type="dxa"/>
          </w:tcPr>
          <w:p w14:paraId="19E5268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2.13</w:t>
            </w:r>
          </w:p>
        </w:tc>
        <w:tc>
          <w:tcPr>
            <w:tcW w:w="1228" w:type="dxa"/>
          </w:tcPr>
          <w:p w14:paraId="0702F3D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0.15</w:t>
            </w:r>
          </w:p>
        </w:tc>
        <w:tc>
          <w:tcPr>
            <w:tcW w:w="1284" w:type="dxa"/>
          </w:tcPr>
          <w:p w14:paraId="1752265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13.35</w:t>
            </w:r>
          </w:p>
        </w:tc>
      </w:tr>
      <w:tr w:rsidR="002D3320" w:rsidRPr="00C25DF4" w14:paraId="00C2DE62" w14:textId="77777777" w:rsidTr="00CB5D4D">
        <w:trPr>
          <w:trHeight w:val="148"/>
        </w:trPr>
        <w:tc>
          <w:tcPr>
            <w:cnfStyle w:val="001000000000" w:firstRow="0" w:lastRow="0" w:firstColumn="1" w:lastColumn="0" w:oddVBand="0" w:evenVBand="0" w:oddHBand="0" w:evenHBand="0" w:firstRowFirstColumn="0" w:firstRowLastColumn="0" w:lastRowFirstColumn="0" w:lastRowLastColumn="0"/>
            <w:tcW w:w="1229" w:type="dxa"/>
          </w:tcPr>
          <w:p w14:paraId="01D7D332"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ETH</w:t>
            </w:r>
          </w:p>
        </w:tc>
        <w:tc>
          <w:tcPr>
            <w:tcW w:w="1228" w:type="dxa"/>
          </w:tcPr>
          <w:p w14:paraId="4FCDC41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3.07</w:t>
            </w:r>
          </w:p>
        </w:tc>
        <w:tc>
          <w:tcPr>
            <w:tcW w:w="1228" w:type="dxa"/>
          </w:tcPr>
          <w:p w14:paraId="23E940B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4.63</w:t>
            </w:r>
          </w:p>
        </w:tc>
        <w:tc>
          <w:tcPr>
            <w:tcW w:w="1228" w:type="dxa"/>
          </w:tcPr>
          <w:p w14:paraId="46637A9A"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2.99</w:t>
            </w:r>
          </w:p>
        </w:tc>
        <w:tc>
          <w:tcPr>
            <w:tcW w:w="1228" w:type="dxa"/>
          </w:tcPr>
          <w:p w14:paraId="7163378A"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2.58</w:t>
            </w:r>
          </w:p>
        </w:tc>
        <w:tc>
          <w:tcPr>
            <w:tcW w:w="1228" w:type="dxa"/>
          </w:tcPr>
          <w:p w14:paraId="0656A1E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2.19</w:t>
            </w:r>
          </w:p>
        </w:tc>
        <w:tc>
          <w:tcPr>
            <w:tcW w:w="1228" w:type="dxa"/>
          </w:tcPr>
          <w:p w14:paraId="448E86B8"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2.13</w:t>
            </w:r>
          </w:p>
        </w:tc>
        <w:tc>
          <w:tcPr>
            <w:tcW w:w="1228" w:type="dxa"/>
          </w:tcPr>
          <w:p w14:paraId="2AD30C3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0.24</w:t>
            </w:r>
          </w:p>
        </w:tc>
        <w:tc>
          <w:tcPr>
            <w:tcW w:w="1284" w:type="dxa"/>
          </w:tcPr>
          <w:p w14:paraId="7D88B63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13.19</w:t>
            </w:r>
          </w:p>
        </w:tc>
      </w:tr>
      <w:tr w:rsidR="002D3320" w:rsidRPr="00C25DF4" w14:paraId="34C92EFC" w14:textId="77777777" w:rsidTr="00CB5D4D">
        <w:trPr>
          <w:trHeight w:val="148"/>
        </w:trPr>
        <w:tc>
          <w:tcPr>
            <w:cnfStyle w:val="001000000000" w:firstRow="0" w:lastRow="0" w:firstColumn="1" w:lastColumn="0" w:oddVBand="0" w:evenVBand="0" w:oddHBand="0" w:evenHBand="0" w:firstRowFirstColumn="0" w:firstRowLastColumn="0" w:lastRowFirstColumn="0" w:lastRowLastColumn="0"/>
            <w:tcW w:w="1229" w:type="dxa"/>
          </w:tcPr>
          <w:p w14:paraId="4EDA01E2"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LTC</w:t>
            </w:r>
          </w:p>
        </w:tc>
        <w:tc>
          <w:tcPr>
            <w:tcW w:w="1228" w:type="dxa"/>
          </w:tcPr>
          <w:p w14:paraId="1C87225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2.87</w:t>
            </w:r>
          </w:p>
        </w:tc>
        <w:tc>
          <w:tcPr>
            <w:tcW w:w="1228" w:type="dxa"/>
          </w:tcPr>
          <w:p w14:paraId="073DC78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2.80</w:t>
            </w:r>
          </w:p>
        </w:tc>
        <w:tc>
          <w:tcPr>
            <w:tcW w:w="1228" w:type="dxa"/>
          </w:tcPr>
          <w:p w14:paraId="681CC1B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4.85</w:t>
            </w:r>
          </w:p>
        </w:tc>
        <w:tc>
          <w:tcPr>
            <w:tcW w:w="1228" w:type="dxa"/>
          </w:tcPr>
          <w:p w14:paraId="324149E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2.36</w:t>
            </w:r>
          </w:p>
        </w:tc>
        <w:tc>
          <w:tcPr>
            <w:tcW w:w="1228" w:type="dxa"/>
          </w:tcPr>
          <w:p w14:paraId="0DBBE48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2.07</w:t>
            </w:r>
          </w:p>
        </w:tc>
        <w:tc>
          <w:tcPr>
            <w:tcW w:w="1228" w:type="dxa"/>
          </w:tcPr>
          <w:p w14:paraId="7C3AD3D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1.93</w:t>
            </w:r>
          </w:p>
        </w:tc>
        <w:tc>
          <w:tcPr>
            <w:tcW w:w="1228" w:type="dxa"/>
          </w:tcPr>
          <w:p w14:paraId="77DD3C1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0.17</w:t>
            </w:r>
          </w:p>
        </w:tc>
        <w:tc>
          <w:tcPr>
            <w:tcW w:w="1284" w:type="dxa"/>
          </w:tcPr>
          <w:p w14:paraId="7D58051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12.20</w:t>
            </w:r>
          </w:p>
        </w:tc>
      </w:tr>
      <w:tr w:rsidR="002D3320" w:rsidRPr="00C25DF4" w14:paraId="3699BF7A" w14:textId="77777777" w:rsidTr="00CB5D4D">
        <w:trPr>
          <w:trHeight w:val="148"/>
        </w:trPr>
        <w:tc>
          <w:tcPr>
            <w:cnfStyle w:val="001000000000" w:firstRow="0" w:lastRow="0" w:firstColumn="1" w:lastColumn="0" w:oddVBand="0" w:evenVBand="0" w:oddHBand="0" w:evenHBand="0" w:firstRowFirstColumn="0" w:firstRowLastColumn="0" w:lastRowFirstColumn="0" w:lastRowLastColumn="0"/>
            <w:tcW w:w="1229" w:type="dxa"/>
          </w:tcPr>
          <w:p w14:paraId="251C405B"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ADA</w:t>
            </w:r>
          </w:p>
        </w:tc>
        <w:tc>
          <w:tcPr>
            <w:tcW w:w="1228" w:type="dxa"/>
          </w:tcPr>
          <w:p w14:paraId="47DDAF7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2.39</w:t>
            </w:r>
          </w:p>
        </w:tc>
        <w:tc>
          <w:tcPr>
            <w:tcW w:w="1228" w:type="dxa"/>
          </w:tcPr>
          <w:p w14:paraId="1EA20C6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2.65</w:t>
            </w:r>
          </w:p>
        </w:tc>
        <w:tc>
          <w:tcPr>
            <w:tcW w:w="1228" w:type="dxa"/>
          </w:tcPr>
          <w:p w14:paraId="49C1A108"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2.41</w:t>
            </w:r>
          </w:p>
        </w:tc>
        <w:tc>
          <w:tcPr>
            <w:tcW w:w="1228" w:type="dxa"/>
          </w:tcPr>
          <w:p w14:paraId="244B87C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4.86</w:t>
            </w:r>
          </w:p>
        </w:tc>
        <w:tc>
          <w:tcPr>
            <w:tcW w:w="1228" w:type="dxa"/>
          </w:tcPr>
          <w:p w14:paraId="00A5796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2.43</w:t>
            </w:r>
          </w:p>
        </w:tc>
        <w:tc>
          <w:tcPr>
            <w:tcW w:w="1228" w:type="dxa"/>
          </w:tcPr>
          <w:p w14:paraId="672FF5AE"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3.03</w:t>
            </w:r>
          </w:p>
        </w:tc>
        <w:tc>
          <w:tcPr>
            <w:tcW w:w="1228" w:type="dxa"/>
          </w:tcPr>
          <w:p w14:paraId="35F0FF1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0.21</w:t>
            </w:r>
          </w:p>
        </w:tc>
        <w:tc>
          <w:tcPr>
            <w:tcW w:w="1284" w:type="dxa"/>
          </w:tcPr>
          <w:p w14:paraId="7975C88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13.13</w:t>
            </w:r>
          </w:p>
        </w:tc>
      </w:tr>
      <w:tr w:rsidR="002D3320" w:rsidRPr="00C25DF4" w14:paraId="5E923E4C" w14:textId="77777777" w:rsidTr="00CB5D4D">
        <w:trPr>
          <w:trHeight w:val="148"/>
        </w:trPr>
        <w:tc>
          <w:tcPr>
            <w:cnfStyle w:val="001000000000" w:firstRow="0" w:lastRow="0" w:firstColumn="1" w:lastColumn="0" w:oddVBand="0" w:evenVBand="0" w:oddHBand="0" w:evenHBand="0" w:firstRowFirstColumn="0" w:firstRowLastColumn="0" w:lastRowFirstColumn="0" w:lastRowLastColumn="0"/>
            <w:tcW w:w="1229" w:type="dxa"/>
          </w:tcPr>
          <w:p w14:paraId="4353713B"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XRP</w:t>
            </w:r>
          </w:p>
        </w:tc>
        <w:tc>
          <w:tcPr>
            <w:tcW w:w="1228" w:type="dxa"/>
          </w:tcPr>
          <w:p w14:paraId="732BA9F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2.10</w:t>
            </w:r>
          </w:p>
        </w:tc>
        <w:tc>
          <w:tcPr>
            <w:tcW w:w="1228" w:type="dxa"/>
          </w:tcPr>
          <w:p w14:paraId="6D24582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2.28</w:t>
            </w:r>
          </w:p>
        </w:tc>
        <w:tc>
          <w:tcPr>
            <w:tcW w:w="1228" w:type="dxa"/>
          </w:tcPr>
          <w:p w14:paraId="2656878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2.22</w:t>
            </w:r>
          </w:p>
        </w:tc>
        <w:tc>
          <w:tcPr>
            <w:tcW w:w="1228" w:type="dxa"/>
          </w:tcPr>
          <w:p w14:paraId="609A9BF6"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2.51</w:t>
            </w:r>
          </w:p>
        </w:tc>
        <w:tc>
          <w:tcPr>
            <w:tcW w:w="1228" w:type="dxa"/>
          </w:tcPr>
          <w:p w14:paraId="265E1C9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5.18</w:t>
            </w:r>
          </w:p>
        </w:tc>
        <w:tc>
          <w:tcPr>
            <w:tcW w:w="1228" w:type="dxa"/>
          </w:tcPr>
          <w:p w14:paraId="037C6A4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3.17</w:t>
            </w:r>
          </w:p>
        </w:tc>
        <w:tc>
          <w:tcPr>
            <w:tcW w:w="1228" w:type="dxa"/>
          </w:tcPr>
          <w:p w14:paraId="57053AC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0.10</w:t>
            </w:r>
          </w:p>
        </w:tc>
        <w:tc>
          <w:tcPr>
            <w:tcW w:w="1284" w:type="dxa"/>
          </w:tcPr>
          <w:p w14:paraId="7EAD6F4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12.38</w:t>
            </w:r>
          </w:p>
        </w:tc>
      </w:tr>
      <w:tr w:rsidR="002D3320" w:rsidRPr="00C25DF4" w14:paraId="70B31A1B" w14:textId="77777777" w:rsidTr="00CB5D4D">
        <w:trPr>
          <w:trHeight w:val="148"/>
        </w:trPr>
        <w:tc>
          <w:tcPr>
            <w:cnfStyle w:val="001000000000" w:firstRow="0" w:lastRow="0" w:firstColumn="1" w:lastColumn="0" w:oddVBand="0" w:evenVBand="0" w:oddHBand="0" w:evenHBand="0" w:firstRowFirstColumn="0" w:firstRowLastColumn="0" w:lastRowFirstColumn="0" w:lastRowLastColumn="0"/>
            <w:tcW w:w="1229" w:type="dxa"/>
          </w:tcPr>
          <w:p w14:paraId="2B6CC540"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XLM</w:t>
            </w:r>
          </w:p>
        </w:tc>
        <w:tc>
          <w:tcPr>
            <w:tcW w:w="1228" w:type="dxa"/>
          </w:tcPr>
          <w:p w14:paraId="06D7E15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2.23</w:t>
            </w:r>
          </w:p>
        </w:tc>
        <w:tc>
          <w:tcPr>
            <w:tcW w:w="1228" w:type="dxa"/>
          </w:tcPr>
          <w:p w14:paraId="22ECD68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2.37</w:t>
            </w:r>
          </w:p>
        </w:tc>
        <w:tc>
          <w:tcPr>
            <w:tcW w:w="1228" w:type="dxa"/>
          </w:tcPr>
          <w:p w14:paraId="72EF69B6"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2.19</w:t>
            </w:r>
          </w:p>
        </w:tc>
        <w:tc>
          <w:tcPr>
            <w:tcW w:w="1228" w:type="dxa"/>
          </w:tcPr>
          <w:p w14:paraId="65B7557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3.24</w:t>
            </w:r>
          </w:p>
        </w:tc>
        <w:tc>
          <w:tcPr>
            <w:tcW w:w="1228" w:type="dxa"/>
          </w:tcPr>
          <w:p w14:paraId="4555A04D"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3.11</w:t>
            </w:r>
          </w:p>
        </w:tc>
        <w:tc>
          <w:tcPr>
            <w:tcW w:w="1228" w:type="dxa"/>
          </w:tcPr>
          <w:p w14:paraId="00F3720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5.13</w:t>
            </w:r>
          </w:p>
        </w:tc>
        <w:tc>
          <w:tcPr>
            <w:tcW w:w="1228" w:type="dxa"/>
          </w:tcPr>
          <w:p w14:paraId="166B52E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0.21</w:t>
            </w:r>
          </w:p>
        </w:tc>
        <w:tc>
          <w:tcPr>
            <w:tcW w:w="1284" w:type="dxa"/>
          </w:tcPr>
          <w:p w14:paraId="2E57931A"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13.35</w:t>
            </w:r>
          </w:p>
        </w:tc>
      </w:tr>
      <w:tr w:rsidR="002D3320" w:rsidRPr="00C25DF4" w14:paraId="37E69D0D" w14:textId="77777777" w:rsidTr="00CB5D4D">
        <w:trPr>
          <w:trHeight w:val="157"/>
        </w:trPr>
        <w:tc>
          <w:tcPr>
            <w:cnfStyle w:val="001000000000" w:firstRow="0" w:lastRow="0" w:firstColumn="1" w:lastColumn="0" w:oddVBand="0" w:evenVBand="0" w:oddHBand="0" w:evenHBand="0" w:firstRowFirstColumn="0" w:firstRowLastColumn="0" w:lastRowFirstColumn="0" w:lastRowLastColumn="0"/>
            <w:tcW w:w="1229" w:type="dxa"/>
          </w:tcPr>
          <w:p w14:paraId="21FD7536"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FSI</w:t>
            </w:r>
          </w:p>
        </w:tc>
        <w:tc>
          <w:tcPr>
            <w:tcW w:w="1228" w:type="dxa"/>
          </w:tcPr>
          <w:p w14:paraId="138649FF"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0.39</w:t>
            </w:r>
          </w:p>
        </w:tc>
        <w:tc>
          <w:tcPr>
            <w:tcW w:w="1228" w:type="dxa"/>
          </w:tcPr>
          <w:p w14:paraId="21D18A0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0.39</w:t>
            </w:r>
          </w:p>
        </w:tc>
        <w:tc>
          <w:tcPr>
            <w:tcW w:w="1228" w:type="dxa"/>
          </w:tcPr>
          <w:p w14:paraId="7EA86EC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0.33</w:t>
            </w:r>
          </w:p>
        </w:tc>
        <w:tc>
          <w:tcPr>
            <w:tcW w:w="1228" w:type="dxa"/>
          </w:tcPr>
          <w:p w14:paraId="1EAEB26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0.50</w:t>
            </w:r>
          </w:p>
        </w:tc>
        <w:tc>
          <w:tcPr>
            <w:tcW w:w="1228" w:type="dxa"/>
          </w:tcPr>
          <w:p w14:paraId="2EFE87F6"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0.46</w:t>
            </w:r>
          </w:p>
        </w:tc>
        <w:tc>
          <w:tcPr>
            <w:tcW w:w="1228" w:type="dxa"/>
          </w:tcPr>
          <w:p w14:paraId="75B2B5D7"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0.46</w:t>
            </w:r>
          </w:p>
        </w:tc>
        <w:tc>
          <w:tcPr>
            <w:tcW w:w="1228" w:type="dxa"/>
          </w:tcPr>
          <w:p w14:paraId="63F6F24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50.21</w:t>
            </w:r>
          </w:p>
        </w:tc>
        <w:tc>
          <w:tcPr>
            <w:tcW w:w="1284" w:type="dxa"/>
          </w:tcPr>
          <w:p w14:paraId="13B8E99B"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2.53</w:t>
            </w:r>
          </w:p>
        </w:tc>
      </w:tr>
      <w:tr w:rsidR="002D3320" w:rsidRPr="00C25DF4" w14:paraId="7EF58C85" w14:textId="77777777" w:rsidTr="00CB5D4D">
        <w:trPr>
          <w:trHeight w:val="148"/>
        </w:trPr>
        <w:tc>
          <w:tcPr>
            <w:cnfStyle w:val="001000000000" w:firstRow="0" w:lastRow="0" w:firstColumn="1" w:lastColumn="0" w:oddVBand="0" w:evenVBand="0" w:oddHBand="0" w:evenHBand="0" w:firstRowFirstColumn="0" w:firstRowLastColumn="0" w:lastRowFirstColumn="0" w:lastRowLastColumn="0"/>
            <w:tcW w:w="1229" w:type="dxa"/>
          </w:tcPr>
          <w:p w14:paraId="2523C8FA"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TO</w:t>
            </w:r>
          </w:p>
        </w:tc>
        <w:tc>
          <w:tcPr>
            <w:tcW w:w="1228" w:type="dxa"/>
          </w:tcPr>
          <w:p w14:paraId="68E1DCB5"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13.04</w:t>
            </w:r>
          </w:p>
        </w:tc>
        <w:tc>
          <w:tcPr>
            <w:tcW w:w="1228" w:type="dxa"/>
          </w:tcPr>
          <w:p w14:paraId="3BDD0D4E"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13.85</w:t>
            </w:r>
          </w:p>
        </w:tc>
        <w:tc>
          <w:tcPr>
            <w:tcW w:w="1228" w:type="dxa"/>
          </w:tcPr>
          <w:p w14:paraId="2A54455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13.23</w:t>
            </w:r>
          </w:p>
        </w:tc>
        <w:tc>
          <w:tcPr>
            <w:tcW w:w="1228" w:type="dxa"/>
          </w:tcPr>
          <w:p w14:paraId="7DF54344"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13.72</w:t>
            </w:r>
          </w:p>
        </w:tc>
        <w:tc>
          <w:tcPr>
            <w:tcW w:w="1228" w:type="dxa"/>
          </w:tcPr>
          <w:p w14:paraId="4522830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12.34</w:t>
            </w:r>
          </w:p>
        </w:tc>
        <w:tc>
          <w:tcPr>
            <w:tcW w:w="1228" w:type="dxa"/>
          </w:tcPr>
          <w:p w14:paraId="5809C98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12.86</w:t>
            </w:r>
          </w:p>
        </w:tc>
        <w:tc>
          <w:tcPr>
            <w:tcW w:w="1228" w:type="dxa"/>
          </w:tcPr>
          <w:p w14:paraId="0A8466E2"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1.07</w:t>
            </w:r>
          </w:p>
        </w:tc>
        <w:tc>
          <w:tcPr>
            <w:tcW w:w="1284" w:type="dxa"/>
          </w:tcPr>
          <w:p w14:paraId="146B99BC"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80.11</w:t>
            </w:r>
          </w:p>
        </w:tc>
      </w:tr>
      <w:tr w:rsidR="002D3320" w:rsidRPr="00C25DF4" w14:paraId="72F68EFE" w14:textId="77777777" w:rsidTr="00CB5D4D">
        <w:trPr>
          <w:trHeight w:val="148"/>
        </w:trPr>
        <w:tc>
          <w:tcPr>
            <w:cnfStyle w:val="001000000000" w:firstRow="0" w:lastRow="0" w:firstColumn="1" w:lastColumn="0" w:oddVBand="0" w:evenVBand="0" w:oddHBand="0" w:evenHBand="0" w:firstRowFirstColumn="0" w:firstRowLastColumn="0" w:lastRowFirstColumn="0" w:lastRowLastColumn="0"/>
            <w:tcW w:w="1229" w:type="dxa"/>
          </w:tcPr>
          <w:p w14:paraId="2D1CD89B" w14:textId="77777777" w:rsidR="002D3320" w:rsidRPr="00C25DF4" w:rsidRDefault="002D3320" w:rsidP="002D3320">
            <w:pPr>
              <w:spacing w:line="360" w:lineRule="auto"/>
              <w:jc w:val="both"/>
              <w:rPr>
                <w:rFonts w:asciiTheme="majorBidi" w:hAnsiTheme="majorBidi" w:cstheme="majorBidi"/>
                <w:b w:val="0"/>
                <w:bCs w:val="0"/>
                <w:sz w:val="24"/>
                <w:szCs w:val="24"/>
              </w:rPr>
            </w:pPr>
            <w:r w:rsidRPr="00C25DF4">
              <w:rPr>
                <w:rFonts w:asciiTheme="majorBidi" w:hAnsiTheme="majorBidi" w:cstheme="majorBidi"/>
                <w:b w:val="0"/>
                <w:bCs w:val="0"/>
                <w:sz w:val="24"/>
                <w:szCs w:val="24"/>
              </w:rPr>
              <w:t>Net</w:t>
            </w:r>
          </w:p>
        </w:tc>
        <w:tc>
          <w:tcPr>
            <w:tcW w:w="1228" w:type="dxa"/>
          </w:tcPr>
          <w:p w14:paraId="46AE89C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-0.31</w:t>
            </w:r>
          </w:p>
        </w:tc>
        <w:tc>
          <w:tcPr>
            <w:tcW w:w="1228" w:type="dxa"/>
          </w:tcPr>
          <w:p w14:paraId="30E7639E"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0.66</w:t>
            </w:r>
          </w:p>
        </w:tc>
        <w:tc>
          <w:tcPr>
            <w:tcW w:w="1228" w:type="dxa"/>
          </w:tcPr>
          <w:p w14:paraId="37E56836"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1.04</w:t>
            </w:r>
          </w:p>
        </w:tc>
        <w:tc>
          <w:tcPr>
            <w:tcW w:w="1228" w:type="dxa"/>
          </w:tcPr>
          <w:p w14:paraId="76DBA1DA"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0.59</w:t>
            </w:r>
          </w:p>
        </w:tc>
        <w:tc>
          <w:tcPr>
            <w:tcW w:w="1228" w:type="dxa"/>
          </w:tcPr>
          <w:p w14:paraId="62DD17E9"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-0.04</w:t>
            </w:r>
          </w:p>
        </w:tc>
        <w:tc>
          <w:tcPr>
            <w:tcW w:w="1228" w:type="dxa"/>
          </w:tcPr>
          <w:p w14:paraId="56EB3F41"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-0.49</w:t>
            </w:r>
          </w:p>
        </w:tc>
        <w:tc>
          <w:tcPr>
            <w:tcW w:w="1228" w:type="dxa"/>
          </w:tcPr>
          <w:p w14:paraId="19E672E3"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25DF4">
              <w:rPr>
                <w:rFonts w:asciiTheme="majorBidi" w:hAnsiTheme="majorBidi" w:cstheme="majorBidi"/>
                <w:sz w:val="24"/>
                <w:szCs w:val="24"/>
              </w:rPr>
              <w:t>-1.46</w:t>
            </w:r>
          </w:p>
        </w:tc>
        <w:tc>
          <w:tcPr>
            <w:tcW w:w="1284" w:type="dxa"/>
          </w:tcPr>
          <w:p w14:paraId="38D232E0" w14:textId="77777777" w:rsidR="002D3320" w:rsidRPr="00C25DF4" w:rsidRDefault="002D3320" w:rsidP="002D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TCI/</w:t>
            </w:r>
            <w:r w:rsidRPr="00C25DF4">
              <w:rPr>
                <w:rFonts w:asciiTheme="majorBidi" w:hAnsiTheme="majorBidi" w:cstheme="majorBidi"/>
                <w:sz w:val="24"/>
                <w:szCs w:val="24"/>
              </w:rPr>
              <w:t>13.35</w:t>
            </w:r>
          </w:p>
        </w:tc>
      </w:tr>
    </w:tbl>
    <w:p w14:paraId="77D89B62" w14:textId="77777777" w:rsidR="002D3320" w:rsidRDefault="002D3320" w:rsidP="002D3320">
      <w:pPr>
        <w:pStyle w:val="Paragraphedeliste"/>
        <w:ind w:left="360"/>
        <w:rPr>
          <w:rFonts w:asciiTheme="majorBidi" w:hAnsiTheme="majorBidi" w:cstheme="majorBidi"/>
          <w:b/>
          <w:bCs/>
          <w:sz w:val="24"/>
          <w:szCs w:val="24"/>
        </w:rPr>
      </w:pPr>
    </w:p>
    <w:p w14:paraId="4BCDFB35"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Les tableaux ci-dessous offrent une vue détaillée de l'interconnectivité de la volatilité entre six crypto-monnaies majeures, Bitcoin (BTC), Ethereum (ETH), Litecoin (LTC), Cardano (ADA), Ripple (XRP), et Stellar (XLM),en relation avec l'Indice de Stress Financier (FSI). Nous analysons cette connectivité sous trois horizons temporels : global, court terme (1-5 jours de trading), et long terme (5 jours à l'infini), pour interpréter la transmission de la volatilité au sein de ce réseau. En prenant en compte le contexte de la crise sanitaire du COVID-19, ces résultats sont cruciaux pour comprendre la réaction des marchés des crypto-monnaies face à cette crise mondiale, offrant des perspectives sur leur résilience et leur vulnérabilité systémique.</w:t>
      </w:r>
    </w:p>
    <w:p w14:paraId="382AFCCB"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Le tableau 2, marqué par un TCI (Total Connectedness Index) de 63,3, révèle une transmission modérément élevée de la volatilité entre les actifs, mettant en lumière l'impact significatif de la crise COVID-19 sur l’interdépendance de la volatilité des crypto-monnaies. En effet, durant cette période, ces actifs ont montré une réactivité accrue entre eux. L'ETH, avec une valeur « TO » de 78,30, émerge comme le principal émetteur de volatilité, ce qui pourrait s'expliquer par sa forte présence et son volume d'échange élevé sur le marché, rendant ses fluctuations particulièrement influentes dans le réseau. En parallèle, le BTC, avec une valeur « FROM » de 73,23, agit comme un récepteur majeur de volatilité, bien que son score net proche de zéro (-0,15) indique un certain équilibre entre la volatilité qu'il reçoit et celle qu'il émet. Le FSI, avec une contribution « TO » limitée à seulement 2,49, suggère que le stress économique général a exercé un effet mineur sur la volatilité des crypto-monnaies, même durant la crise COVID-19. Sa grande stabilité interne (95,07 « FROM ») montre que, bien que significatif pour les marchés traditionnels, le stress financier n’a pas fortement influencé les crypto-monnaies, suggérant que la dynamique de volatilité au sein de ce réseau était principalement guidée par des interactions internes, avec l'ETH et le BTC occupant des rôles centraux.</w:t>
      </w:r>
    </w:p>
    <w:p w14:paraId="6430B7BC"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Dans le tableau 3, analysant le court terme (1-5 jours), le TCI diminue légèrement à 60,59, ce qui indique une interconnexion de volatilité légèrement inférieure dans cette fenêtre temporelle. L'ETH reste un émetteur majeur, avec un score « TO » de 64,45, soulignant sa sensibilité aux fluctuations de court terme et son influence clé sur le réseau. Les crypto-monnaies plus petites et « propres » comme ADA, ou XRP, une « sale », ont des scores « TO » plus faibles (61,08 et 57,53, respectivement), ce qui suggère qu'elles transmettent moins de volatilité sur cette période, possiblement en raison de leurs volumes d'échange et liquidités moindres, ce qui peut les isoler des variations rapides du marché, témoignant d'une certaine résilience. La faible contribution « TO » du FSI à 1,42 confirme sa marginalité face aux mouvements de court terme des crypto-monnaies, tandis que sa stabilité interne élevée (44,85 « FROM ») signale son indépendance vis-à-vis de ce marché. Ce faible impact illustre la relative immunité des crypto-monnaies aux perturbations économiques générales, même en période de crise.</w:t>
      </w:r>
    </w:p>
    <w:p w14:paraId="3C0585C8" w14:textId="77777777" w:rsidR="002D3320" w:rsidRP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Le tableau 4 présente une baisse notable du TCI à 13,35 pour le long terme (5 jours à l'infini), suggérant une interconnexion plus réduite de la volatilité dans le réseau sur cette durée. Cette diminution indique que, sur des périodes étendues, chaque crypto-monnaie montre des comportements de prix plus autonomes, illustrant une forte résilience aux effets de contagion. Le BTC, par exemple, voit ses valeurs « TO » et « FROM » diminuer de façon significative, ce qui reflète une volatilité plus indépendante des autres actifs. De même, les crypto-monnaies « propres » comme ADA ou « sales » comme XRP démontrent également une interdépendance réduite au fil du temps, ce qui montre qu’une stabilité accrue du marché permet une dynamique de prix indépendante. La contribution « TO » du FSI, pratiquement négligeable à 1,07, combinée à une valeur élevée « FROM » de 50,21, confirme que le stress financier, bien qu'influent dans les marchés classiques, reste largement confiné et n’est que peu transmis aux crypto-monnaies à long terme.</w:t>
      </w:r>
    </w:p>
    <w:p w14:paraId="3AEA255E" w14:textId="37A770F9" w:rsidR="002D3320" w:rsidRDefault="002D3320" w:rsidP="002D3320">
      <w:pPr>
        <w:pStyle w:val="NormalWeb"/>
        <w:spacing w:line="360" w:lineRule="auto"/>
        <w:jc w:val="both"/>
        <w:rPr>
          <w:rFonts w:asciiTheme="minorHAnsi" w:hAnsiTheme="minorHAnsi" w:cstheme="minorHAnsi"/>
          <w:lang w:val="fr-FR"/>
        </w:rPr>
      </w:pPr>
      <w:r w:rsidRPr="002D3320">
        <w:rPr>
          <w:rFonts w:asciiTheme="minorHAnsi" w:hAnsiTheme="minorHAnsi" w:cstheme="minorHAnsi"/>
          <w:lang w:val="fr-FR"/>
        </w:rPr>
        <w:t>En conclusion, cette analyse met en lumière un marché des crypto-monnaies qui demeure fortement interconnecté sur les horizons court et global, avec l'ETH et le BTC jouant des rôles de premier plan comme émetteur et récepteur de volatilité respectivement, particulièrement lors de la crise COVID-19. Cependant, à long terme, la réduction du TCI (13,35) illustre une tendance à l’auto-stabilisation, chaque crypto-monnaie adoptant un comportement de prix plus indépendant, limitant ainsi le risque de contagion. L'impact limité du FSI sur tous les horizons confirme que les crypto-monnaies pourraient servir de couverture contre le stress financier global, représentant une classe d'actifs potentiellement stabilisatrice au sein d’un portefeuille diversifié, démontré de manière notable durant la crise sans précédent du COVID-19.</w:t>
      </w:r>
    </w:p>
    <w:p w14:paraId="2DA5DA99" w14:textId="77777777" w:rsidR="002D3320" w:rsidRPr="002D3320" w:rsidRDefault="002D3320" w:rsidP="002D3320">
      <w:pPr>
        <w:pStyle w:val="NormalWeb"/>
        <w:spacing w:line="360" w:lineRule="auto"/>
        <w:jc w:val="both"/>
        <w:rPr>
          <w:rFonts w:asciiTheme="minorHAnsi" w:hAnsiTheme="minorHAnsi" w:cstheme="minorHAnsi"/>
          <w:lang w:val="fr-FR"/>
        </w:rPr>
      </w:pPr>
    </w:p>
    <w:p w14:paraId="43A86D93" w14:textId="77777777" w:rsidR="002D3320" w:rsidRPr="00565FF3" w:rsidRDefault="002D3320" w:rsidP="002D3320">
      <w:pPr>
        <w:pStyle w:val="Paragraphedeliste"/>
        <w:ind w:left="360"/>
        <w:rPr>
          <w:rFonts w:asciiTheme="majorBidi" w:hAnsiTheme="majorBidi" w:cstheme="majorBidi"/>
          <w:b/>
          <w:bCs/>
          <w:sz w:val="32"/>
          <w:szCs w:val="32"/>
        </w:rPr>
      </w:pPr>
    </w:p>
    <w:p w14:paraId="3D96F9FF" w14:textId="2422F5A8" w:rsidR="00565FF3" w:rsidRPr="004B56C0" w:rsidRDefault="00565FF3" w:rsidP="00565FF3">
      <w:pPr>
        <w:spacing w:line="276" w:lineRule="auto"/>
        <w:rPr>
          <w:rFonts w:asciiTheme="majorBidi" w:hAnsiTheme="majorBidi" w:cstheme="majorBidi"/>
          <w:sz w:val="24"/>
          <w:szCs w:val="24"/>
          <w:u w:val="single"/>
        </w:rPr>
      </w:pPr>
      <w:r w:rsidRPr="004B56C0">
        <w:rPr>
          <w:rFonts w:asciiTheme="majorBidi" w:hAnsiTheme="majorBidi" w:cstheme="majorBidi"/>
          <w:sz w:val="24"/>
          <w:szCs w:val="24"/>
          <w:u w:val="single"/>
        </w:rPr>
        <w:t>4.2 Connectivité dynamique totale de la volatilité</w:t>
      </w:r>
    </w:p>
    <w:p w14:paraId="705A0DFC" w14:textId="77777777" w:rsidR="00565FF3" w:rsidRPr="00565FF3" w:rsidRDefault="00565FF3" w:rsidP="00565FF3">
      <w:pPr>
        <w:spacing w:before="100" w:beforeAutospacing="1" w:after="100" w:afterAutospacing="1" w:line="240" w:lineRule="auto"/>
        <w:rPr>
          <w:rFonts w:eastAsia="Times New Roman" w:cstheme="minorHAnsi"/>
          <w:sz w:val="24"/>
          <w:szCs w:val="24"/>
          <w:lang w:eastAsia="en-US"/>
        </w:rPr>
      </w:pPr>
      <w:r w:rsidRPr="00565FF3">
        <w:rPr>
          <w:rFonts w:eastAsia="Times New Roman" w:cstheme="minorHAnsi"/>
          <w:sz w:val="24"/>
          <w:szCs w:val="24"/>
          <w:lang w:eastAsia="en-US"/>
        </w:rPr>
        <w:t>La Figure 1 présente l'évolution de la connectivité dynamique de la volatilité totale entre les principales crypto-monnaies et met en lumière comment les relations de volatilité entre ces actifs ont changé au fil du temps, en particulier pendant la crise sanitaire. Cette connectivité dynamique est un indicateur de la manière dont les chocs économiques et les événements globaux peuvent influencer l'interaction entre différents actifs dans le marché des crypto-monnaies. L’objectif est d’observer les pics de connectivité qui peuvent suggérer des périodes de contagion accrue ou de synchronisation des risques entre actifs "sales" et "propres".</w:t>
      </w:r>
    </w:p>
    <w:p w14:paraId="6C36FBF4" w14:textId="77777777" w:rsidR="00565FF3" w:rsidRPr="00565FF3" w:rsidRDefault="00565FF3" w:rsidP="00565FF3">
      <w:pPr>
        <w:spacing w:line="276" w:lineRule="auto"/>
        <w:rPr>
          <w:rFonts w:asciiTheme="majorBidi" w:hAnsiTheme="majorBidi" w:cstheme="majorBidi"/>
          <w:b/>
          <w:bCs/>
          <w:sz w:val="24"/>
          <w:szCs w:val="24"/>
          <w:u w:val="single"/>
        </w:rPr>
      </w:pPr>
    </w:p>
    <w:p w14:paraId="640178D0" w14:textId="77777777" w:rsidR="00565FF3" w:rsidRPr="00D330DC" w:rsidRDefault="00565FF3" w:rsidP="00565FF3">
      <w:pPr>
        <w:spacing w:line="276" w:lineRule="auto"/>
        <w:jc w:val="center"/>
        <w:rPr>
          <w:rFonts w:asciiTheme="majorBidi" w:hAnsiTheme="majorBidi" w:cstheme="majorBidi"/>
          <w:b/>
          <w:bCs/>
          <w:sz w:val="20"/>
          <w:szCs w:val="20"/>
        </w:rPr>
      </w:pPr>
      <w:r w:rsidRPr="00D330DC">
        <w:rPr>
          <w:rFonts w:asciiTheme="majorBidi" w:hAnsiTheme="majorBidi" w:cstheme="majorBidi"/>
          <w:b/>
          <w:bCs/>
          <w:noProof/>
          <w:sz w:val="20"/>
          <w:szCs w:val="20"/>
        </w:rPr>
        <w:drawing>
          <wp:anchor distT="0" distB="0" distL="114300" distR="114300" simplePos="0" relativeHeight="251661312" behindDoc="0" locked="0" layoutInCell="1" allowOverlap="1" wp14:anchorId="68A72204" wp14:editId="36BABA5E">
            <wp:simplePos x="0" y="0"/>
            <wp:positionH relativeFrom="margin">
              <wp:align>left</wp:align>
            </wp:positionH>
            <wp:positionV relativeFrom="paragraph">
              <wp:posOffset>15240</wp:posOffset>
            </wp:positionV>
            <wp:extent cx="4333875" cy="2523490"/>
            <wp:effectExtent l="0" t="0" r="952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plot1.png"/>
                    <pic:cNvPicPr/>
                  </pic:nvPicPr>
                  <pic:blipFill>
                    <a:blip r:embed="rId9">
                      <a:extLst>
                        <a:ext uri="{28A0092B-C50C-407E-A947-70E740481C1C}">
                          <a14:useLocalDpi xmlns:a14="http://schemas.microsoft.com/office/drawing/2010/main" val="0"/>
                        </a:ext>
                      </a:extLst>
                    </a:blip>
                    <a:stretch>
                      <a:fillRect/>
                    </a:stretch>
                  </pic:blipFill>
                  <pic:spPr>
                    <a:xfrm>
                      <a:off x="0" y="0"/>
                      <a:ext cx="4333875" cy="2523490"/>
                    </a:xfrm>
                    <a:prstGeom prst="rect">
                      <a:avLst/>
                    </a:prstGeom>
                  </pic:spPr>
                </pic:pic>
              </a:graphicData>
            </a:graphic>
            <wp14:sizeRelH relativeFrom="margin">
              <wp14:pctWidth>0</wp14:pctWidth>
            </wp14:sizeRelH>
            <wp14:sizeRelV relativeFrom="margin">
              <wp14:pctHeight>0</wp14:pctHeight>
            </wp14:sizeRelV>
          </wp:anchor>
        </w:drawing>
      </w:r>
    </w:p>
    <w:p w14:paraId="2784A0DA" w14:textId="77777777" w:rsidR="00565FF3" w:rsidRPr="00D330DC" w:rsidRDefault="00565FF3" w:rsidP="00565FF3">
      <w:pPr>
        <w:spacing w:line="276" w:lineRule="auto"/>
        <w:rPr>
          <w:rFonts w:asciiTheme="majorBidi" w:hAnsiTheme="majorBidi" w:cstheme="majorBidi"/>
          <w:b/>
          <w:bCs/>
          <w:sz w:val="20"/>
          <w:szCs w:val="20"/>
        </w:rPr>
      </w:pPr>
    </w:p>
    <w:p w14:paraId="261B8425" w14:textId="77777777" w:rsidR="00565FF3" w:rsidRDefault="00565FF3" w:rsidP="00565FF3">
      <w:pPr>
        <w:spacing w:line="276" w:lineRule="auto"/>
        <w:rPr>
          <w:rFonts w:asciiTheme="majorBidi" w:hAnsiTheme="majorBidi" w:cstheme="majorBidi"/>
          <w:b/>
          <w:bCs/>
          <w:sz w:val="20"/>
          <w:szCs w:val="20"/>
        </w:rPr>
      </w:pPr>
    </w:p>
    <w:p w14:paraId="08A934B8" w14:textId="77777777" w:rsidR="00565FF3" w:rsidRDefault="00565FF3" w:rsidP="00565FF3">
      <w:pPr>
        <w:spacing w:line="276" w:lineRule="auto"/>
        <w:rPr>
          <w:rFonts w:asciiTheme="majorBidi" w:hAnsiTheme="majorBidi" w:cstheme="majorBidi"/>
          <w:b/>
          <w:bCs/>
          <w:sz w:val="20"/>
          <w:szCs w:val="20"/>
        </w:rPr>
      </w:pPr>
    </w:p>
    <w:p w14:paraId="5E582FF0" w14:textId="77777777" w:rsidR="00565FF3" w:rsidRDefault="00565FF3" w:rsidP="00565FF3">
      <w:pPr>
        <w:spacing w:line="276" w:lineRule="auto"/>
        <w:rPr>
          <w:rFonts w:asciiTheme="majorBidi" w:hAnsiTheme="majorBidi" w:cstheme="majorBidi"/>
          <w:b/>
          <w:bCs/>
          <w:sz w:val="20"/>
          <w:szCs w:val="20"/>
        </w:rPr>
      </w:pPr>
    </w:p>
    <w:p w14:paraId="7833F3C2" w14:textId="77777777" w:rsidR="00565FF3" w:rsidRDefault="00565FF3" w:rsidP="00565FF3">
      <w:pPr>
        <w:spacing w:line="276" w:lineRule="auto"/>
        <w:rPr>
          <w:rFonts w:asciiTheme="majorBidi" w:hAnsiTheme="majorBidi" w:cstheme="majorBidi"/>
          <w:b/>
          <w:bCs/>
          <w:sz w:val="20"/>
          <w:szCs w:val="20"/>
        </w:rPr>
      </w:pPr>
    </w:p>
    <w:p w14:paraId="7C1B570E" w14:textId="77777777" w:rsidR="00565FF3" w:rsidRDefault="00565FF3" w:rsidP="00565FF3">
      <w:pPr>
        <w:spacing w:line="276" w:lineRule="auto"/>
        <w:rPr>
          <w:rFonts w:asciiTheme="majorBidi" w:hAnsiTheme="majorBidi" w:cstheme="majorBidi"/>
          <w:b/>
          <w:bCs/>
          <w:sz w:val="20"/>
          <w:szCs w:val="20"/>
        </w:rPr>
      </w:pPr>
    </w:p>
    <w:p w14:paraId="3FE79E69" w14:textId="77777777" w:rsidR="00565FF3" w:rsidRDefault="00565FF3" w:rsidP="00565FF3">
      <w:pPr>
        <w:spacing w:line="276" w:lineRule="auto"/>
        <w:rPr>
          <w:rFonts w:asciiTheme="majorBidi" w:hAnsiTheme="majorBidi" w:cstheme="majorBidi"/>
          <w:b/>
          <w:bCs/>
          <w:sz w:val="20"/>
          <w:szCs w:val="20"/>
        </w:rPr>
      </w:pPr>
    </w:p>
    <w:p w14:paraId="3D701CA6" w14:textId="77777777" w:rsidR="00565FF3" w:rsidRDefault="00565FF3" w:rsidP="00565FF3">
      <w:pPr>
        <w:spacing w:line="276" w:lineRule="auto"/>
        <w:rPr>
          <w:rFonts w:asciiTheme="majorBidi" w:hAnsiTheme="majorBidi" w:cstheme="majorBidi"/>
          <w:b/>
          <w:bCs/>
          <w:sz w:val="20"/>
          <w:szCs w:val="20"/>
        </w:rPr>
      </w:pPr>
    </w:p>
    <w:p w14:paraId="5461256F" w14:textId="77777777" w:rsidR="00565FF3" w:rsidRDefault="00565FF3" w:rsidP="00565FF3">
      <w:pPr>
        <w:spacing w:line="276" w:lineRule="auto"/>
        <w:rPr>
          <w:rFonts w:asciiTheme="majorBidi" w:hAnsiTheme="majorBidi" w:cstheme="majorBidi"/>
          <w:b/>
          <w:bCs/>
          <w:sz w:val="20"/>
          <w:szCs w:val="20"/>
        </w:rPr>
      </w:pPr>
    </w:p>
    <w:p w14:paraId="397836BF" w14:textId="77777777" w:rsidR="00565FF3" w:rsidRDefault="00565FF3" w:rsidP="00565FF3">
      <w:pPr>
        <w:spacing w:line="276" w:lineRule="auto"/>
        <w:rPr>
          <w:rFonts w:asciiTheme="majorBidi" w:hAnsiTheme="majorBidi" w:cstheme="majorBidi"/>
          <w:b/>
          <w:bCs/>
          <w:sz w:val="20"/>
          <w:szCs w:val="20"/>
        </w:rPr>
      </w:pPr>
    </w:p>
    <w:p w14:paraId="0E3E27F0" w14:textId="77777777" w:rsidR="00565FF3" w:rsidRDefault="00565FF3" w:rsidP="00565FF3">
      <w:pPr>
        <w:spacing w:line="276" w:lineRule="auto"/>
        <w:rPr>
          <w:rFonts w:asciiTheme="majorBidi" w:hAnsiTheme="majorBidi" w:cstheme="majorBidi"/>
          <w:b/>
          <w:bCs/>
          <w:sz w:val="20"/>
          <w:szCs w:val="20"/>
        </w:rPr>
      </w:pPr>
    </w:p>
    <w:p w14:paraId="17DDCBF3" w14:textId="77777777" w:rsidR="00565FF3" w:rsidRDefault="00565FF3" w:rsidP="00565FF3">
      <w:pPr>
        <w:spacing w:line="276" w:lineRule="auto"/>
        <w:rPr>
          <w:rFonts w:cstheme="minorHAnsi"/>
          <w:b/>
          <w:bCs/>
          <w:sz w:val="24"/>
          <w:szCs w:val="24"/>
        </w:rPr>
      </w:pPr>
    </w:p>
    <w:p w14:paraId="456622E2" w14:textId="77777777" w:rsidR="00565FF3" w:rsidRDefault="00565FF3" w:rsidP="00565FF3">
      <w:pPr>
        <w:spacing w:line="276" w:lineRule="auto"/>
        <w:rPr>
          <w:rFonts w:cstheme="minorHAnsi"/>
          <w:b/>
          <w:bCs/>
          <w:sz w:val="24"/>
          <w:szCs w:val="24"/>
        </w:rPr>
      </w:pPr>
    </w:p>
    <w:p w14:paraId="72F384BB" w14:textId="77777777" w:rsidR="00565FF3" w:rsidRDefault="00565FF3" w:rsidP="00565FF3">
      <w:pPr>
        <w:spacing w:line="276" w:lineRule="auto"/>
        <w:rPr>
          <w:rFonts w:cstheme="minorHAnsi"/>
          <w:b/>
          <w:bCs/>
          <w:sz w:val="24"/>
          <w:szCs w:val="24"/>
        </w:rPr>
      </w:pPr>
    </w:p>
    <w:p w14:paraId="33B4F265" w14:textId="41A85C8E" w:rsidR="00565FF3" w:rsidRPr="00565FF3" w:rsidRDefault="00565FF3" w:rsidP="00565FF3">
      <w:pPr>
        <w:spacing w:line="276" w:lineRule="auto"/>
        <w:rPr>
          <w:rFonts w:cstheme="minorHAnsi"/>
          <w:b/>
          <w:bCs/>
          <w:sz w:val="24"/>
          <w:szCs w:val="24"/>
        </w:rPr>
      </w:pPr>
      <w:r w:rsidRPr="00565FF3">
        <w:rPr>
          <w:rFonts w:cstheme="minorHAnsi"/>
          <w:b/>
          <w:bCs/>
          <w:sz w:val="24"/>
          <w:szCs w:val="24"/>
        </w:rPr>
        <w:t xml:space="preserve">Figure. 1. </w:t>
      </w:r>
      <w:r w:rsidRPr="00565FF3">
        <w:rPr>
          <w:rFonts w:cstheme="minorHAnsi"/>
          <w:sz w:val="24"/>
          <w:szCs w:val="24"/>
        </w:rPr>
        <w:t>Connectivité dynamique de la volatilité totale.</w:t>
      </w:r>
    </w:p>
    <w:p w14:paraId="4574C0B0" w14:textId="77777777" w:rsidR="00565FF3" w:rsidRPr="00565FF3" w:rsidRDefault="00565FF3" w:rsidP="00565FF3">
      <w:pPr>
        <w:spacing w:before="100" w:beforeAutospacing="1" w:after="100" w:afterAutospacing="1"/>
        <w:rPr>
          <w:rFonts w:eastAsia="Times New Roman" w:cstheme="minorHAnsi"/>
          <w:sz w:val="24"/>
          <w:szCs w:val="24"/>
          <w:lang w:eastAsia="en-US"/>
        </w:rPr>
      </w:pPr>
      <w:r w:rsidRPr="00565FF3">
        <w:rPr>
          <w:rFonts w:eastAsia="Times New Roman" w:cstheme="minorHAnsi"/>
          <w:sz w:val="24"/>
          <w:szCs w:val="24"/>
          <w:lang w:eastAsia="en-US"/>
        </w:rPr>
        <w:t>La Figure 1 illustre la connectivité dynamique de la volatilité totale parmi les crypto-monnaies étudiées sur la période de 2018 à 2024. On observe une augmentation significative de la connectivité au début de la pandémie COVID-19, indiquant un effet de contagion accru dans les marchés des crypto-monnaies. Cela peut être interprété comme une réactivité accrue des crypto-monnaies aux chocs extérieurs en période de crise. Les niveaux de connectivité se stabilisent par la suite, avec des fluctuations reflétant les changements dans les conditions de marché. La zone rouge (1-5) représente les connexions de faible fréquence, tandis que la zone verte (5-HF) correspond aux connexions de haute fréquence. La prédominance de la zone rouge pendant la crise montre que les interactions à moyen terme ont dominé, probablement en raison de l'incertitude prolongée provoquée par la pandémie.</w:t>
      </w:r>
    </w:p>
    <w:p w14:paraId="3FC3D4C6" w14:textId="77777777" w:rsidR="00565FF3" w:rsidRPr="001E0E21" w:rsidRDefault="00565FF3" w:rsidP="00565FF3">
      <w:pPr>
        <w:spacing w:line="276" w:lineRule="auto"/>
        <w:rPr>
          <w:rFonts w:asciiTheme="majorBidi" w:hAnsiTheme="majorBidi" w:cstheme="majorBidi"/>
          <w:b/>
          <w:bCs/>
          <w:sz w:val="20"/>
          <w:szCs w:val="20"/>
        </w:rPr>
      </w:pPr>
    </w:p>
    <w:p w14:paraId="56C67FBA" w14:textId="590C2529" w:rsidR="00565FF3" w:rsidRPr="004B56C0" w:rsidRDefault="00565FF3" w:rsidP="00565FF3">
      <w:pPr>
        <w:spacing w:line="276" w:lineRule="auto"/>
        <w:rPr>
          <w:rFonts w:asciiTheme="majorBidi" w:hAnsiTheme="majorBidi" w:cstheme="majorBidi"/>
          <w:sz w:val="24"/>
          <w:szCs w:val="24"/>
          <w:u w:val="single"/>
        </w:rPr>
      </w:pPr>
      <w:bookmarkStart w:id="0" w:name="_GoBack"/>
      <w:r w:rsidRPr="004B56C0">
        <w:rPr>
          <w:rFonts w:asciiTheme="majorBidi" w:hAnsiTheme="majorBidi" w:cstheme="majorBidi"/>
          <w:sz w:val="24"/>
          <w:szCs w:val="24"/>
          <w:u w:val="single"/>
        </w:rPr>
        <w:t>4.3 Volatilité directionnelle totale nette connexité</w:t>
      </w:r>
      <w:bookmarkEnd w:id="0"/>
    </w:p>
    <w:p w14:paraId="7F6D4F19" w14:textId="4A7E3DBF" w:rsidR="00565FF3" w:rsidRDefault="00565FF3" w:rsidP="00565FF3">
      <w:pPr>
        <w:spacing w:line="276" w:lineRule="auto"/>
        <w:rPr>
          <w:rFonts w:asciiTheme="majorBidi" w:hAnsiTheme="majorBidi" w:cstheme="majorBidi"/>
          <w:b/>
          <w:bCs/>
          <w:sz w:val="24"/>
          <w:szCs w:val="24"/>
          <w:u w:val="single"/>
        </w:rPr>
      </w:pPr>
    </w:p>
    <w:p w14:paraId="5FE59E17" w14:textId="59EF3484" w:rsidR="00565FF3" w:rsidRPr="00565FF3" w:rsidRDefault="00565FF3" w:rsidP="00565FF3">
      <w:pPr>
        <w:spacing w:before="100" w:beforeAutospacing="1" w:after="100" w:afterAutospacing="1"/>
        <w:rPr>
          <w:rFonts w:ascii="Times New Roman" w:eastAsia="Times New Roman" w:hAnsi="Times New Roman" w:cs="Times New Roman"/>
          <w:sz w:val="24"/>
          <w:szCs w:val="24"/>
          <w:lang w:eastAsia="en-US"/>
        </w:rPr>
      </w:pPr>
      <w:r w:rsidRPr="00565FF3">
        <w:rPr>
          <w:rFonts w:asciiTheme="majorBidi" w:hAnsiTheme="majorBidi" w:cstheme="majorBidi"/>
          <w:b/>
          <w:bCs/>
          <w:noProof/>
          <w:sz w:val="24"/>
          <w:szCs w:val="24"/>
          <w:u w:val="single"/>
        </w:rPr>
        <w:drawing>
          <wp:anchor distT="0" distB="0" distL="114300" distR="114300" simplePos="0" relativeHeight="251659264" behindDoc="0" locked="0" layoutInCell="1" allowOverlap="1" wp14:anchorId="5D71701F" wp14:editId="14EDEED0">
            <wp:simplePos x="0" y="0"/>
            <wp:positionH relativeFrom="page">
              <wp:posOffset>577850</wp:posOffset>
            </wp:positionH>
            <wp:positionV relativeFrom="paragraph">
              <wp:posOffset>3860165</wp:posOffset>
            </wp:positionV>
            <wp:extent cx="6649085" cy="2657475"/>
            <wp:effectExtent l="0" t="0" r="0" b="952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plot2.png"/>
                    <pic:cNvPicPr/>
                  </pic:nvPicPr>
                  <pic:blipFill>
                    <a:blip r:embed="rId10">
                      <a:extLst>
                        <a:ext uri="{28A0092B-C50C-407E-A947-70E740481C1C}">
                          <a14:useLocalDpi xmlns:a14="http://schemas.microsoft.com/office/drawing/2010/main" val="0"/>
                        </a:ext>
                      </a:extLst>
                    </a:blip>
                    <a:stretch>
                      <a:fillRect/>
                    </a:stretch>
                  </pic:blipFill>
                  <pic:spPr>
                    <a:xfrm>
                      <a:off x="0" y="0"/>
                      <a:ext cx="6649085" cy="2657475"/>
                    </a:xfrm>
                    <a:prstGeom prst="rect">
                      <a:avLst/>
                    </a:prstGeom>
                  </pic:spPr>
                </pic:pic>
              </a:graphicData>
            </a:graphic>
            <wp14:sizeRelH relativeFrom="margin">
              <wp14:pctWidth>0</wp14:pctWidth>
            </wp14:sizeRelH>
            <wp14:sizeRelV relativeFrom="margin">
              <wp14:pctHeight>0</wp14:pctHeight>
            </wp14:sizeRelV>
          </wp:anchor>
        </w:drawing>
      </w:r>
      <w:r w:rsidRPr="00565FF3">
        <w:rPr>
          <w:rFonts w:eastAsia="Times New Roman" w:cstheme="minorHAnsi"/>
          <w:sz w:val="24"/>
          <w:szCs w:val="24"/>
          <w:lang w:eastAsia="en-US"/>
        </w:rPr>
        <w:t>Les Figures 2 et 3 explorent les connexions directionnelles nettes de volatilité, apportant des perspectives complémentaires sur les dynamiques d'interaction entre les crypto-monnaies et l'indice de stress financier (FSI). La Figure 2 met en évidence les connexions directionnelles nettes pour chaque actif pris individuellement, ce qui permet d'identifier les crypto-monnaies qui jouent un rôle dominant en transmettant de la volatilité, par rapport à celles qui agissent principalement comme récepteurs de l'influence du marché. Cette distinction est cruciale pour comprendre la hiérarchie d'influence et les dépendances au sein du marché pendant la crise sanitaire. En parallèle, la Figure 3 offre une analyse bilatérale des connexions entre chaque paire d'actifs "sales" et "propres", fournissant une vision plus fine de la transmission de risque et de la résilience entre crypto-monnaies spécifiques. Cette perspective par paires est essentielle pour cerner les mécanismes de contagion et de stabilité, permettant de mieux comprendre comment chaque actif affecte ou est affecté par un autre dans un contexte de crise</w:t>
      </w:r>
      <w:r w:rsidRPr="00565FF3">
        <w:rPr>
          <w:rFonts w:ascii="Times New Roman" w:eastAsia="Times New Roman" w:hAnsi="Times New Roman" w:cs="Times New Roman"/>
          <w:sz w:val="24"/>
          <w:szCs w:val="24"/>
          <w:lang w:eastAsia="en-US"/>
        </w:rPr>
        <w:t>.</w:t>
      </w:r>
    </w:p>
    <w:p w14:paraId="181EED92" w14:textId="1AE4E343" w:rsidR="00565FF3" w:rsidRDefault="00565FF3" w:rsidP="00565FF3">
      <w:pPr>
        <w:spacing w:line="276" w:lineRule="auto"/>
        <w:rPr>
          <w:rFonts w:asciiTheme="majorBidi" w:hAnsiTheme="majorBidi" w:cstheme="majorBidi"/>
          <w:b/>
          <w:bCs/>
          <w:sz w:val="20"/>
          <w:szCs w:val="20"/>
        </w:rPr>
      </w:pPr>
    </w:p>
    <w:p w14:paraId="331CD947" w14:textId="32434F8A" w:rsidR="00565FF3" w:rsidRPr="00565FF3" w:rsidRDefault="00565FF3" w:rsidP="00565FF3">
      <w:pPr>
        <w:spacing w:line="276" w:lineRule="auto"/>
        <w:jc w:val="left"/>
        <w:rPr>
          <w:rFonts w:cstheme="minorHAnsi"/>
          <w:b/>
          <w:bCs/>
          <w:sz w:val="20"/>
          <w:szCs w:val="20"/>
        </w:rPr>
      </w:pPr>
      <w:r w:rsidRPr="00565FF3">
        <w:rPr>
          <w:rFonts w:cstheme="minorHAnsi"/>
          <w:b/>
          <w:bCs/>
          <w:sz w:val="24"/>
          <w:szCs w:val="24"/>
        </w:rPr>
        <w:t xml:space="preserve">Figure 2 : </w:t>
      </w:r>
      <w:r w:rsidRPr="00565FF3">
        <w:rPr>
          <w:rFonts w:cstheme="minorHAnsi"/>
          <w:sz w:val="24"/>
          <w:szCs w:val="24"/>
        </w:rPr>
        <w:t>Connexions directionnelles totales nettes</w:t>
      </w:r>
      <w:r w:rsidRPr="00565FF3">
        <w:rPr>
          <w:rFonts w:cstheme="minorHAnsi"/>
          <w:b/>
          <w:bCs/>
          <w:sz w:val="20"/>
          <w:szCs w:val="20"/>
        </w:rPr>
        <w:br/>
      </w:r>
      <w:r w:rsidRPr="00565FF3">
        <w:rPr>
          <w:rFonts w:cstheme="minorHAnsi"/>
          <w:b/>
          <w:bCs/>
          <w:sz w:val="20"/>
          <w:szCs w:val="20"/>
        </w:rPr>
        <w:br/>
      </w:r>
    </w:p>
    <w:p w14:paraId="74C8503B" w14:textId="0FD52508" w:rsidR="00565FF3" w:rsidRPr="00D330DC" w:rsidRDefault="00565FF3" w:rsidP="00565FF3">
      <w:pPr>
        <w:spacing w:line="276" w:lineRule="auto"/>
        <w:rPr>
          <w:rFonts w:asciiTheme="majorBidi" w:hAnsiTheme="majorBidi" w:cstheme="majorBidi"/>
          <w:b/>
          <w:bCs/>
          <w:sz w:val="20"/>
          <w:szCs w:val="20"/>
        </w:rPr>
      </w:pPr>
      <w:r>
        <w:rPr>
          <w:rFonts w:asciiTheme="majorBidi" w:hAnsiTheme="majorBidi" w:cstheme="majorBidi"/>
          <w:b/>
          <w:bCs/>
          <w:sz w:val="20"/>
          <w:szCs w:val="20"/>
        </w:rPr>
        <w:br/>
      </w:r>
      <w:r>
        <w:rPr>
          <w:rFonts w:asciiTheme="majorBidi" w:hAnsiTheme="majorBidi" w:cstheme="majorBidi"/>
          <w:b/>
          <w:bCs/>
          <w:sz w:val="20"/>
          <w:szCs w:val="20"/>
        </w:rPr>
        <w:br/>
      </w:r>
      <w:r>
        <w:rPr>
          <w:rFonts w:asciiTheme="majorBidi" w:hAnsiTheme="majorBidi" w:cstheme="majorBidi"/>
          <w:b/>
          <w:bCs/>
          <w:sz w:val="20"/>
          <w:szCs w:val="20"/>
        </w:rPr>
        <w:br/>
      </w:r>
      <w:r w:rsidR="00246D16" w:rsidRPr="00D330DC">
        <w:rPr>
          <w:rFonts w:asciiTheme="majorBidi" w:hAnsiTheme="majorBidi" w:cstheme="majorBidi"/>
          <w:b/>
          <w:bCs/>
          <w:noProof/>
          <w:sz w:val="20"/>
          <w:szCs w:val="20"/>
        </w:rPr>
        <w:drawing>
          <wp:anchor distT="0" distB="0" distL="114300" distR="114300" simplePos="0" relativeHeight="251660288" behindDoc="0" locked="0" layoutInCell="1" allowOverlap="1" wp14:anchorId="38543B1E" wp14:editId="6D12699D">
            <wp:simplePos x="0" y="0"/>
            <wp:positionH relativeFrom="page">
              <wp:posOffset>390525</wp:posOffset>
            </wp:positionH>
            <wp:positionV relativeFrom="paragraph">
              <wp:posOffset>0</wp:posOffset>
            </wp:positionV>
            <wp:extent cx="7012940" cy="381000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plot3.png"/>
                    <pic:cNvPicPr/>
                  </pic:nvPicPr>
                  <pic:blipFill>
                    <a:blip r:embed="rId11">
                      <a:extLst>
                        <a:ext uri="{28A0092B-C50C-407E-A947-70E740481C1C}">
                          <a14:useLocalDpi xmlns:a14="http://schemas.microsoft.com/office/drawing/2010/main" val="0"/>
                        </a:ext>
                      </a:extLst>
                    </a:blip>
                    <a:stretch>
                      <a:fillRect/>
                    </a:stretch>
                  </pic:blipFill>
                  <pic:spPr>
                    <a:xfrm>
                      <a:off x="0" y="0"/>
                      <a:ext cx="7012940" cy="381000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sz w:val="20"/>
          <w:szCs w:val="20"/>
        </w:rPr>
        <w:br/>
      </w:r>
    </w:p>
    <w:p w14:paraId="5B16087B" w14:textId="1D1AEA8D" w:rsidR="00565FF3" w:rsidRPr="00565FF3" w:rsidRDefault="00565FF3" w:rsidP="00565FF3">
      <w:pPr>
        <w:spacing w:line="276" w:lineRule="auto"/>
        <w:rPr>
          <w:rFonts w:cstheme="minorHAnsi"/>
          <w:b/>
          <w:bCs/>
          <w:sz w:val="24"/>
          <w:szCs w:val="24"/>
        </w:rPr>
      </w:pPr>
      <w:r w:rsidRPr="00565FF3">
        <w:rPr>
          <w:rFonts w:cstheme="minorHAnsi"/>
          <w:b/>
          <w:bCs/>
          <w:sz w:val="24"/>
          <w:szCs w:val="24"/>
        </w:rPr>
        <w:t xml:space="preserve">Figure 3 : </w:t>
      </w:r>
      <w:r w:rsidRPr="00565FF3">
        <w:rPr>
          <w:rFonts w:cstheme="minorHAnsi"/>
          <w:sz w:val="24"/>
          <w:szCs w:val="24"/>
        </w:rPr>
        <w:t>Connexion dynamique de la volatilité directionnelle nette par paires entre les cryptomonnaies et FSI</w:t>
      </w:r>
    </w:p>
    <w:p w14:paraId="229D7322" w14:textId="77777777" w:rsidR="00565FF3" w:rsidRDefault="00565FF3" w:rsidP="00565FF3">
      <w:pPr>
        <w:spacing w:line="276" w:lineRule="auto"/>
        <w:rPr>
          <w:rFonts w:asciiTheme="majorBidi" w:hAnsiTheme="majorBidi" w:cstheme="majorBidi"/>
          <w:b/>
          <w:bCs/>
          <w:sz w:val="20"/>
          <w:szCs w:val="20"/>
        </w:rPr>
      </w:pPr>
    </w:p>
    <w:p w14:paraId="2E1FED22" w14:textId="77777777" w:rsidR="00565FF3" w:rsidRDefault="00565FF3" w:rsidP="00565FF3">
      <w:pPr>
        <w:spacing w:line="276" w:lineRule="auto"/>
        <w:rPr>
          <w:rFonts w:asciiTheme="majorBidi" w:hAnsiTheme="majorBidi" w:cstheme="majorBidi"/>
          <w:b/>
          <w:bCs/>
          <w:sz w:val="20"/>
          <w:szCs w:val="20"/>
        </w:rPr>
      </w:pPr>
    </w:p>
    <w:p w14:paraId="3715676D" w14:textId="77777777" w:rsidR="00246D16" w:rsidRPr="00246D16" w:rsidRDefault="00565FF3" w:rsidP="00246D16">
      <w:pPr>
        <w:pStyle w:val="NormalWeb"/>
        <w:spacing w:line="360" w:lineRule="auto"/>
        <w:jc w:val="both"/>
        <w:rPr>
          <w:rFonts w:asciiTheme="minorHAnsi" w:hAnsiTheme="minorHAnsi" w:cstheme="minorHAnsi"/>
          <w:lang w:val="fr-FR"/>
        </w:rPr>
      </w:pPr>
      <w:r w:rsidRPr="00246D16">
        <w:rPr>
          <w:rFonts w:asciiTheme="minorHAnsi" w:hAnsiTheme="minorHAnsi" w:cstheme="minorHAnsi"/>
          <w:b/>
          <w:bCs/>
          <w:sz w:val="20"/>
          <w:szCs w:val="20"/>
          <w:lang w:val="fr-FR"/>
        </w:rPr>
        <w:t xml:space="preserve"> </w:t>
      </w:r>
      <w:r w:rsidR="00246D16" w:rsidRPr="00246D16">
        <w:rPr>
          <w:rFonts w:asciiTheme="minorHAnsi" w:hAnsiTheme="minorHAnsi" w:cstheme="minorHAnsi"/>
          <w:lang w:val="fr-FR"/>
        </w:rPr>
        <w:t>La Figure 2 présente les connexions directionnelles totales nettes des différentes crypto-monnaies et du Financial Stress Index (FSI), ce qui permet de déterminer si chaque actif agit principalement en tant qu’émetteur ou récepteur de volatilité. Ethereum (ETH) se distingue en tant que principal émetteur de volatilité, avec un score directionnel élevé vers les autres crypto-monnaies, ce qui est cohérent avec sa place prépondérante sur le marché et sa forte liquidité. À l'inverse, Bitcoin (BTC) se comporte principalement comme un récepteur de volatilité, ce qui pourrait s'expliquer par son rôle de valeur refuge perçue dans les moments de turbulence. Le FSI, indicateur du stress financier général, montre une contribution limitée, indiquant que les crypto-monnaies ont été moins influencées par les conditions macroéconomiques extérieures, en particulier à court terme.</w:t>
      </w:r>
    </w:p>
    <w:p w14:paraId="4B2D8E4D" w14:textId="77777777" w:rsidR="00246D16" w:rsidRPr="00246D16" w:rsidRDefault="00246D16" w:rsidP="00246D16">
      <w:pPr>
        <w:spacing w:before="100" w:beforeAutospacing="1" w:after="100" w:afterAutospacing="1"/>
        <w:rPr>
          <w:rFonts w:eastAsia="Times New Roman" w:cstheme="minorHAnsi"/>
          <w:sz w:val="24"/>
          <w:szCs w:val="24"/>
          <w:lang w:eastAsia="en-US"/>
        </w:rPr>
      </w:pPr>
      <w:r w:rsidRPr="00246D16">
        <w:rPr>
          <w:rFonts w:eastAsia="Times New Roman" w:cstheme="minorHAnsi"/>
          <w:sz w:val="24"/>
          <w:szCs w:val="24"/>
          <w:lang w:eastAsia="en-US"/>
        </w:rPr>
        <w:t>La Figure 3 explore les connexions directionnelles nettes par paires entre les différentes crypto-monnaies. Cette analyse par paires permet de comprendre les dynamiques spécifiques entre les crypto-monnaies "sales" et "propres" pendant la crise COVID-19.</w:t>
      </w:r>
    </w:p>
    <w:p w14:paraId="2DB8ECC7" w14:textId="77777777" w:rsidR="00246D16" w:rsidRPr="00246D16" w:rsidRDefault="00246D16" w:rsidP="00246D16">
      <w:pPr>
        <w:spacing w:before="100" w:beforeAutospacing="1" w:after="100" w:afterAutospacing="1"/>
        <w:rPr>
          <w:rFonts w:eastAsia="Times New Roman" w:cstheme="minorHAnsi"/>
          <w:sz w:val="24"/>
          <w:szCs w:val="24"/>
          <w:lang w:eastAsia="en-US"/>
        </w:rPr>
      </w:pPr>
      <w:r w:rsidRPr="00246D16">
        <w:rPr>
          <w:rFonts w:eastAsia="Times New Roman" w:cstheme="minorHAnsi"/>
          <w:sz w:val="24"/>
          <w:szCs w:val="24"/>
          <w:lang w:eastAsia="en-US"/>
        </w:rPr>
        <w:t>Pairs impliquant des crypto-monnaies "sales" (BTC, ETH, LTC) : Ces actifs montrent des niveaux de connectivité élevés, avec Ethereum (ETH) émettant davantage de volatilité vers Bitcoin (BTC) et Litecoin (LTC). Cela reflète la tendance des crypto-monnaies à forte capitalisation à influencer les autres actifs en période de crise.</w:t>
      </w:r>
    </w:p>
    <w:p w14:paraId="2A6048BD" w14:textId="77777777" w:rsidR="00246D16" w:rsidRPr="00246D16" w:rsidRDefault="00246D16" w:rsidP="00246D16">
      <w:pPr>
        <w:spacing w:before="100" w:beforeAutospacing="1" w:after="100" w:afterAutospacing="1"/>
        <w:rPr>
          <w:rFonts w:eastAsia="Times New Roman" w:cstheme="minorHAnsi"/>
          <w:sz w:val="24"/>
          <w:szCs w:val="24"/>
          <w:lang w:eastAsia="en-US"/>
        </w:rPr>
      </w:pPr>
      <w:r w:rsidRPr="00246D16">
        <w:rPr>
          <w:rFonts w:eastAsia="Times New Roman" w:cstheme="minorHAnsi"/>
          <w:sz w:val="24"/>
          <w:szCs w:val="24"/>
          <w:lang w:eastAsia="en-US"/>
        </w:rPr>
        <w:t>Pairs impliquant des crypto-monnaies "propres" (XRP, ADA, XLM) : Ripple (XRP) et Stellar (XLM) apparaissent comme relativement isolés, transmettant moins de volatilité aux autres actifs. Cardano (ADA), cependant, montre une légère transmission de volatilité vers les autres crypto-monnaies "propres", ce qui peut être dû à son adoption croissante et à sa liquidité accrue pendant cette période.</w:t>
      </w:r>
    </w:p>
    <w:p w14:paraId="4BEF7957" w14:textId="6433E27B" w:rsidR="003C4AD2" w:rsidRPr="00584544" w:rsidRDefault="00246D16" w:rsidP="00584544">
      <w:pPr>
        <w:spacing w:before="100" w:beforeAutospacing="1" w:after="100" w:afterAutospacing="1"/>
        <w:rPr>
          <w:rFonts w:eastAsia="Times New Roman" w:cstheme="minorHAnsi"/>
          <w:sz w:val="24"/>
          <w:szCs w:val="24"/>
          <w:lang w:eastAsia="en-US"/>
        </w:rPr>
      </w:pPr>
      <w:r w:rsidRPr="00246D16">
        <w:rPr>
          <w:rFonts w:eastAsia="Times New Roman" w:cstheme="minorHAnsi"/>
          <w:sz w:val="24"/>
          <w:szCs w:val="24"/>
          <w:lang w:eastAsia="en-US"/>
        </w:rPr>
        <w:t>Dans le cadre de la crise sanitaire, les crypto-monnaies "propres" (XRP, ADA, XLM) ont montré une plus grande résilience par rapport aux crypto-monnaies "sales". Les actifs "sales" ont non seulement agi comme émetteurs de volatilité mais ont également démontré une interconnexion accrue, ce qui les a rendus plus vulnérables aux effets de contagion. À l'inverse, les crypto-monnaies "propres" ont présenté une interdépendance moindre et une volatilité moins transmise, ce qui indique une stabilité relative face aux chocs externes.</w:t>
      </w:r>
      <w:r w:rsidR="00565FF3" w:rsidRPr="00584544">
        <w:rPr>
          <w:rFonts w:cstheme="minorHAnsi"/>
          <w:b/>
          <w:bCs/>
          <w:sz w:val="20"/>
          <w:szCs w:val="20"/>
        </w:rPr>
        <w:br/>
      </w:r>
      <w:r w:rsidR="00565FF3" w:rsidRPr="00584544">
        <w:rPr>
          <w:rFonts w:cstheme="minorHAnsi"/>
          <w:b/>
          <w:bCs/>
          <w:sz w:val="20"/>
          <w:szCs w:val="20"/>
        </w:rPr>
        <w:br/>
      </w:r>
      <w:r w:rsidR="003C4AD2" w:rsidRPr="00584544">
        <w:rPr>
          <w:rFonts w:cstheme="minorHAnsi"/>
          <w:b/>
          <w:bCs/>
          <w:sz w:val="24"/>
          <w:szCs w:val="24"/>
        </w:rPr>
        <w:t xml:space="preserve">5. Conclusion </w:t>
      </w:r>
      <w:r w:rsidR="003C4AD2" w:rsidRPr="00584544">
        <w:rPr>
          <w:rFonts w:cstheme="minorHAnsi"/>
          <w:b/>
          <w:bCs/>
          <w:sz w:val="20"/>
          <w:szCs w:val="20"/>
        </w:rPr>
        <w:br/>
      </w:r>
      <w:r w:rsidR="003C4AD2" w:rsidRPr="00584544">
        <w:rPr>
          <w:rFonts w:cstheme="minorHAnsi"/>
        </w:rPr>
        <w:t>L’analyse détaillée de l'interconnectivité de la volatilité entre six crypto-monnaies majeures—Bitcoin (BTC), Ethereum (ETH), Litecoin (LTC), Cardano (ADA), Ripple (XRP) et Stellar (XLM)—en relation avec l'Indice de Stress Financier (FSI) a révélé des dynamiques intéressantes sur plusieurs horizons temporels, notamment durant la crise sanitaire du COVID-19. Sur le plan global, les résultats montrent une interconnexion modérément élevée entre ces actifs, avec l'ETH et le BTC jouant des rôles clés dans la transmission de la volatilité. Cette réactivité accrue des crypto-monnaies face aux chocs externes souligne leur sensibilité aux perturbations du marché pendant la crise, tout en illustrant leur capacité à maintenir une certaine autonomie à long terme.</w:t>
      </w:r>
    </w:p>
    <w:p w14:paraId="3D0EE914" w14:textId="77777777" w:rsidR="003C4AD2" w:rsidRPr="003C4AD2" w:rsidRDefault="003C4AD2" w:rsidP="00584544">
      <w:pPr>
        <w:spacing w:before="100" w:beforeAutospacing="1" w:after="100" w:afterAutospacing="1"/>
        <w:rPr>
          <w:rFonts w:eastAsia="Times New Roman" w:cstheme="minorHAnsi"/>
          <w:sz w:val="24"/>
          <w:szCs w:val="24"/>
          <w:lang w:eastAsia="en-US"/>
        </w:rPr>
      </w:pPr>
      <w:r w:rsidRPr="003C4AD2">
        <w:rPr>
          <w:rFonts w:eastAsia="Times New Roman" w:cstheme="minorHAnsi"/>
          <w:sz w:val="24"/>
          <w:szCs w:val="24"/>
          <w:lang w:eastAsia="en-US"/>
        </w:rPr>
        <w:t>La crise COVID-19 a exercé une pression importante sur les relations entre ces actifs, notamment avec une montée de la connectivité de la volatilité, mais cette interconnexion semble se réduire sur des horizons temporels plus longs. En effet, les crypto-monnaies ont montré une tendance à l'auto-stabilisation à mesure que le temps passait, limitant ainsi les effets de contagion à long terme. L'impact relativement faible du FSI sur les crypto-monnaies confirme que ces actifs ont peu été influencés par les conditions macroéconomiques globales, malgré l'ampleur du stress financier observé sur les marchés traditionnels.</w:t>
      </w:r>
    </w:p>
    <w:p w14:paraId="00108261" w14:textId="77777777" w:rsidR="003C4AD2" w:rsidRPr="003C4AD2" w:rsidRDefault="003C4AD2" w:rsidP="003C4AD2">
      <w:pPr>
        <w:spacing w:before="100" w:beforeAutospacing="1" w:after="100" w:afterAutospacing="1"/>
        <w:rPr>
          <w:rFonts w:eastAsia="Times New Roman" w:cstheme="minorHAnsi"/>
          <w:sz w:val="24"/>
          <w:szCs w:val="24"/>
          <w:lang w:eastAsia="en-US"/>
        </w:rPr>
      </w:pPr>
      <w:r w:rsidRPr="003C4AD2">
        <w:rPr>
          <w:rFonts w:eastAsia="Times New Roman" w:cstheme="minorHAnsi"/>
          <w:sz w:val="24"/>
          <w:szCs w:val="24"/>
          <w:lang w:eastAsia="en-US"/>
        </w:rPr>
        <w:t>Les analyses par paires ont mis en lumière la distinction entre les crypto-monnaies "sales" (BTC, ETH, LTC) et "propres" (XRP, ADA, XLM). Alors que les premières ont montré une forte connectivité et une vulnérabilité accrue aux effets de contagion, les secondes ont présenté une plus grande résilience, avec une moindre transmission de volatilité et une certaine indépendance vis-à-vis des autres actifs. Cette résilience des crypto-monnaies "propres" suggère qu'elles pourraient offrir une stabilité relative dans un portefeuille diversifié, surtout en période de crise économique.</w:t>
      </w:r>
    </w:p>
    <w:p w14:paraId="14667C1D" w14:textId="45A428C8" w:rsidR="003C4AD2" w:rsidRPr="003C4AD2" w:rsidRDefault="003C4AD2" w:rsidP="003C4AD2">
      <w:pPr>
        <w:spacing w:before="100" w:beforeAutospacing="1" w:after="100" w:afterAutospacing="1"/>
        <w:rPr>
          <w:rFonts w:eastAsia="Times New Roman" w:cstheme="minorHAnsi"/>
          <w:sz w:val="24"/>
          <w:szCs w:val="24"/>
          <w:lang w:eastAsia="en-US"/>
        </w:rPr>
      </w:pPr>
      <w:r>
        <w:rPr>
          <w:rFonts w:eastAsia="Times New Roman" w:cstheme="minorHAnsi"/>
          <w:sz w:val="24"/>
          <w:szCs w:val="24"/>
          <w:lang w:eastAsia="en-US"/>
        </w:rPr>
        <w:t xml:space="preserve">En fin, </w:t>
      </w:r>
      <w:r w:rsidRPr="003C4AD2">
        <w:rPr>
          <w:rFonts w:eastAsia="Times New Roman" w:cstheme="minorHAnsi"/>
          <w:sz w:val="24"/>
          <w:szCs w:val="24"/>
          <w:lang w:eastAsia="en-US"/>
        </w:rPr>
        <w:t>cette étude sur la connectivité dynamique de la volatilité dans les marchés des crypto-monnaies révèle des insights cruciaux sur leur comportement face aux crises. Les résultats suggèrent que, bien que les crypto-monnaies "sales" comme le BTC et l'ETH soient plus exposées aux effets de contagion, les crypto-monnaies "propres" offrent une alternative plus stable pour les investisseurs cherchant à se prémunir contre les risques systémiques. Ces observations ont des implications importantes pour la gestion de portefeuille et la diversification des actifs numériques, en particulier dans des périodes d'incertitude économique mondiale.</w:t>
      </w:r>
    </w:p>
    <w:p w14:paraId="1B1AA306" w14:textId="15F0E16D" w:rsidR="00E72138" w:rsidRDefault="003C4AD2" w:rsidP="003C4AD2">
      <w:pPr>
        <w:spacing w:line="276" w:lineRule="auto"/>
        <w:rPr>
          <w:rFonts w:asciiTheme="majorBidi" w:hAnsiTheme="majorBidi" w:cstheme="majorBidi"/>
          <w:b/>
          <w:bCs/>
          <w:sz w:val="24"/>
          <w:szCs w:val="24"/>
        </w:rPr>
      </w:pPr>
      <w:r w:rsidRPr="003C4AD2">
        <w:rPr>
          <w:rFonts w:asciiTheme="majorBidi" w:hAnsiTheme="majorBidi" w:cstheme="majorBidi"/>
          <w:b/>
          <w:bCs/>
          <w:sz w:val="24"/>
          <w:szCs w:val="24"/>
        </w:rPr>
        <w:t xml:space="preserve">Références </w:t>
      </w:r>
    </w:p>
    <w:p w14:paraId="3724E96C" w14:textId="77777777" w:rsidR="003C4AD2" w:rsidRPr="003C4AD2" w:rsidRDefault="003C4AD2" w:rsidP="000179FF">
      <w:pPr>
        <w:spacing w:before="100" w:beforeAutospacing="1" w:after="100" w:afterAutospacing="1" w:line="240" w:lineRule="auto"/>
        <w:rPr>
          <w:rFonts w:eastAsia="Times New Roman" w:cstheme="minorHAnsi"/>
          <w:sz w:val="24"/>
          <w:szCs w:val="24"/>
          <w:lang w:val="en-US" w:eastAsia="en-US"/>
        </w:rPr>
      </w:pPr>
      <w:r w:rsidRPr="003C4AD2">
        <w:rPr>
          <w:rFonts w:eastAsia="Times New Roman" w:cstheme="minorHAnsi"/>
          <w:sz w:val="24"/>
          <w:szCs w:val="24"/>
          <w:lang w:val="en-US" w:eastAsia="en-US"/>
        </w:rPr>
        <w:t>Bekaert, G., Harvey, C. R., &amp; Ng, A. (2014). Market integration and contagion. Journal of International Money and Finance, 42, 122-153.</w:t>
      </w:r>
    </w:p>
    <w:p w14:paraId="1E1BB711" w14:textId="77777777" w:rsidR="003C4AD2" w:rsidRPr="003C4AD2" w:rsidRDefault="003C4AD2" w:rsidP="000179FF">
      <w:pPr>
        <w:spacing w:before="100" w:beforeAutospacing="1" w:after="100" w:afterAutospacing="1" w:line="240" w:lineRule="auto"/>
        <w:rPr>
          <w:rFonts w:eastAsia="Times New Roman" w:cstheme="minorHAnsi"/>
          <w:sz w:val="24"/>
          <w:szCs w:val="24"/>
          <w:lang w:val="en-US" w:eastAsia="en-US"/>
        </w:rPr>
      </w:pPr>
      <w:r w:rsidRPr="003C4AD2">
        <w:rPr>
          <w:rFonts w:eastAsia="Times New Roman" w:cstheme="minorHAnsi"/>
          <w:sz w:val="24"/>
          <w:szCs w:val="24"/>
          <w:lang w:val="en-US" w:eastAsia="en-US"/>
        </w:rPr>
        <w:t>Bouri, E., Gupta, R., &amp; Roubaud, D. (2020). Co-movement and dynamic correlation between cryptocurrency and stock markets. International Review of Financial Analysis, 67, 101367.</w:t>
      </w:r>
    </w:p>
    <w:p w14:paraId="284AD10F" w14:textId="77777777" w:rsidR="003C4AD2" w:rsidRPr="003C4AD2" w:rsidRDefault="003C4AD2" w:rsidP="000179FF">
      <w:pPr>
        <w:spacing w:before="100" w:beforeAutospacing="1" w:after="100" w:afterAutospacing="1" w:line="240" w:lineRule="auto"/>
        <w:rPr>
          <w:rFonts w:eastAsia="Times New Roman" w:cstheme="minorHAnsi"/>
          <w:sz w:val="24"/>
          <w:szCs w:val="24"/>
          <w:lang w:val="en-US" w:eastAsia="en-US"/>
        </w:rPr>
      </w:pPr>
      <w:r w:rsidRPr="003C4AD2">
        <w:rPr>
          <w:rFonts w:eastAsia="Times New Roman" w:cstheme="minorHAnsi"/>
          <w:sz w:val="24"/>
          <w:szCs w:val="24"/>
          <w:lang w:val="en-US" w:eastAsia="en-US"/>
        </w:rPr>
        <w:t>Broadstock, D. C., Chatziantoniou, I., &amp; Gabauer, D. (2020). Minimum connectedness portfolios and the market for green bonds: Advocating socially responsible investment (SRI) activity. Journal of International Financial Markets, Institutions and Money, 67, 101190.</w:t>
      </w:r>
    </w:p>
    <w:p w14:paraId="5942E3AC" w14:textId="77777777" w:rsidR="003C4AD2" w:rsidRPr="003C4AD2" w:rsidRDefault="003C4AD2" w:rsidP="000179FF">
      <w:pPr>
        <w:spacing w:before="100" w:beforeAutospacing="1" w:after="100" w:afterAutospacing="1" w:line="240" w:lineRule="auto"/>
        <w:rPr>
          <w:rFonts w:eastAsia="Times New Roman" w:cstheme="minorHAnsi"/>
          <w:sz w:val="24"/>
          <w:szCs w:val="24"/>
          <w:lang w:val="en-US" w:eastAsia="en-US"/>
        </w:rPr>
      </w:pPr>
      <w:r w:rsidRPr="003C4AD2">
        <w:rPr>
          <w:rFonts w:eastAsia="Times New Roman" w:cstheme="minorHAnsi"/>
          <w:sz w:val="24"/>
          <w:szCs w:val="24"/>
          <w:lang w:val="en-US" w:eastAsia="en-US"/>
        </w:rPr>
        <w:t>Cardarelli, R., Elekdag, S., &amp; Lall, S. (2011). Financial stress and economic contractions. Journal of Financial Stability, 7(3), 178-197.</w:t>
      </w:r>
    </w:p>
    <w:p w14:paraId="7625124D" w14:textId="77777777" w:rsidR="003C4AD2" w:rsidRPr="003C4AD2" w:rsidRDefault="003C4AD2" w:rsidP="000179FF">
      <w:pPr>
        <w:spacing w:before="100" w:beforeAutospacing="1" w:after="100" w:afterAutospacing="1" w:line="240" w:lineRule="auto"/>
        <w:rPr>
          <w:rFonts w:eastAsia="Times New Roman" w:cstheme="minorHAnsi"/>
          <w:sz w:val="24"/>
          <w:szCs w:val="24"/>
          <w:lang w:val="en-US" w:eastAsia="en-US"/>
        </w:rPr>
      </w:pPr>
      <w:r w:rsidRPr="003C4AD2">
        <w:rPr>
          <w:rFonts w:eastAsia="Times New Roman" w:cstheme="minorHAnsi"/>
          <w:sz w:val="24"/>
          <w:szCs w:val="24"/>
          <w:lang w:val="en-US" w:eastAsia="en-US"/>
        </w:rPr>
        <w:t>Corbet, S., Lucey, B., &amp; Yarovaya, L. (2018). The volatility of cryptocurrency markets: Evidence from Bitcoin and Ethereum. Journal of International Financial Markets, Institutions and Money, 55, 107-126.</w:t>
      </w:r>
    </w:p>
    <w:p w14:paraId="073C057E" w14:textId="77777777" w:rsidR="003C4AD2" w:rsidRPr="003C4AD2" w:rsidRDefault="003C4AD2" w:rsidP="000179FF">
      <w:pPr>
        <w:spacing w:before="100" w:beforeAutospacing="1" w:after="100" w:afterAutospacing="1" w:line="240" w:lineRule="auto"/>
        <w:rPr>
          <w:rFonts w:eastAsia="Times New Roman" w:cstheme="minorHAnsi"/>
          <w:sz w:val="24"/>
          <w:szCs w:val="24"/>
          <w:lang w:val="en-US" w:eastAsia="en-US"/>
        </w:rPr>
      </w:pPr>
      <w:r w:rsidRPr="003C4AD2">
        <w:rPr>
          <w:rFonts w:eastAsia="Times New Roman" w:cstheme="minorHAnsi"/>
          <w:sz w:val="24"/>
          <w:szCs w:val="24"/>
          <w:lang w:val="en-US" w:eastAsia="en-US"/>
        </w:rPr>
        <w:t>Forbes, K. J., &amp; Rigobon, R. (2002). No contagion, only interdependence: Measuring stock market comovements. Journal of Finance, 57(5), 2223-2261.</w:t>
      </w:r>
    </w:p>
    <w:p w14:paraId="24AB6D72" w14:textId="3E2E17E9" w:rsidR="003C4AD2" w:rsidRDefault="003C4AD2" w:rsidP="000179FF">
      <w:pPr>
        <w:spacing w:before="100" w:beforeAutospacing="1" w:after="100" w:afterAutospacing="1" w:line="240" w:lineRule="auto"/>
        <w:rPr>
          <w:rFonts w:eastAsia="Times New Roman" w:cstheme="minorHAnsi"/>
          <w:sz w:val="24"/>
          <w:szCs w:val="24"/>
          <w:lang w:val="en-US" w:eastAsia="en-US"/>
        </w:rPr>
      </w:pPr>
      <w:r w:rsidRPr="003C4AD2">
        <w:rPr>
          <w:rFonts w:eastAsia="Times New Roman" w:cstheme="minorHAnsi"/>
          <w:sz w:val="24"/>
          <w:szCs w:val="24"/>
          <w:lang w:val="en-US" w:eastAsia="en-US"/>
        </w:rPr>
        <w:t>Goodell, J. W., &amp; Goutte, S. (2021). Environmental impacts of cryptocurrency mining: Evidence from the global Bitcoin market. The Journal of Environmental Economics and Management, 107, 102409.</w:t>
      </w:r>
    </w:p>
    <w:p w14:paraId="09582A0D" w14:textId="6206BB88" w:rsidR="000179FF" w:rsidRDefault="000179FF" w:rsidP="000179FF">
      <w:pPr>
        <w:spacing w:before="100" w:beforeAutospacing="1" w:after="100" w:afterAutospacing="1" w:line="240" w:lineRule="auto"/>
        <w:rPr>
          <w:rFonts w:eastAsia="Times New Roman" w:cstheme="minorHAnsi"/>
          <w:sz w:val="24"/>
          <w:szCs w:val="24"/>
          <w:lang w:val="en-US" w:eastAsia="en-US"/>
        </w:rPr>
      </w:pPr>
      <w:r w:rsidRPr="003C4AD2">
        <w:rPr>
          <w:rFonts w:eastAsia="Times New Roman" w:cstheme="minorHAnsi"/>
          <w:sz w:val="24"/>
          <w:szCs w:val="24"/>
          <w:lang w:val="en-US" w:eastAsia="en-US"/>
        </w:rPr>
        <w:t>Illing, M., &amp; Liu, Y. (2006). Measuring financial stress in a developed country: An application to Canada. Journal of Financial Stability, 2(3), 243-265.</w:t>
      </w:r>
    </w:p>
    <w:p w14:paraId="418D8190" w14:textId="55593290" w:rsidR="000179FF" w:rsidRPr="003C4AD2" w:rsidRDefault="000179FF" w:rsidP="00584544">
      <w:pPr>
        <w:spacing w:before="100" w:beforeAutospacing="1" w:after="100" w:afterAutospacing="1" w:line="240" w:lineRule="auto"/>
        <w:rPr>
          <w:rFonts w:eastAsia="Times New Roman" w:cstheme="minorHAnsi"/>
          <w:sz w:val="24"/>
          <w:szCs w:val="24"/>
          <w:lang w:val="en-US" w:eastAsia="en-US"/>
        </w:rPr>
      </w:pPr>
      <w:r w:rsidRPr="003C4AD2">
        <w:rPr>
          <w:rFonts w:eastAsia="Times New Roman" w:cstheme="minorHAnsi"/>
          <w:sz w:val="24"/>
          <w:szCs w:val="24"/>
          <w:lang w:val="en-US" w:eastAsia="en-US"/>
        </w:rPr>
        <w:t>Koop, G., &amp; Korobilis, D. (2010). Bayesian multivariate time series methods for empirical macroeconomics. Foundations and Trends in Econometrics, 3(4), 267-358.</w:t>
      </w:r>
    </w:p>
    <w:p w14:paraId="5F926A81" w14:textId="77777777" w:rsidR="003C4AD2" w:rsidRPr="003C4AD2" w:rsidRDefault="003C4AD2" w:rsidP="00584544">
      <w:pPr>
        <w:spacing w:before="100" w:beforeAutospacing="1" w:after="100" w:afterAutospacing="1" w:line="240" w:lineRule="auto"/>
        <w:rPr>
          <w:rFonts w:eastAsia="Times New Roman" w:cstheme="minorHAnsi"/>
          <w:sz w:val="24"/>
          <w:szCs w:val="24"/>
          <w:lang w:val="en-US" w:eastAsia="en-US"/>
        </w:rPr>
      </w:pPr>
      <w:r w:rsidRPr="003C4AD2">
        <w:rPr>
          <w:rFonts w:eastAsia="Times New Roman" w:cstheme="minorHAnsi"/>
          <w:sz w:val="24"/>
          <w:szCs w:val="24"/>
          <w:lang w:val="en-US" w:eastAsia="en-US"/>
        </w:rPr>
        <w:t>Lahmiri, S., &amp; Bekiros, S. (2020). Herding behavior in cryptocurrency markets. Finance Research Letters, 35, 101448.</w:t>
      </w:r>
    </w:p>
    <w:p w14:paraId="76AF54DA" w14:textId="77777777" w:rsidR="000179FF" w:rsidRPr="000179FF" w:rsidRDefault="000179FF" w:rsidP="00584544">
      <w:pPr>
        <w:spacing w:before="100" w:beforeAutospacing="1" w:after="100" w:afterAutospacing="1" w:line="240" w:lineRule="auto"/>
        <w:rPr>
          <w:rFonts w:eastAsia="Times New Roman" w:cstheme="minorHAnsi"/>
          <w:sz w:val="24"/>
          <w:szCs w:val="24"/>
          <w:lang w:val="en-US" w:eastAsia="en-US"/>
        </w:rPr>
      </w:pPr>
      <w:r w:rsidRPr="000179FF">
        <w:rPr>
          <w:rFonts w:eastAsia="Times New Roman" w:cstheme="minorHAnsi"/>
          <w:sz w:val="24"/>
          <w:szCs w:val="24"/>
          <w:lang w:val="en-US" w:eastAsia="en-US"/>
        </w:rPr>
        <w:t>Liu, Y., &amp; Wu, Y. (2021). The impact of COVID-19 on global cryptocurrency markets: Evidence from Bitcoin and Ethereum. Finance Research Letters, 39, 101629.</w:t>
      </w:r>
    </w:p>
    <w:p w14:paraId="3F571EC4" w14:textId="77777777" w:rsidR="000179FF" w:rsidRPr="000179FF" w:rsidRDefault="000179FF" w:rsidP="00584544">
      <w:pPr>
        <w:spacing w:before="100" w:beforeAutospacing="1" w:after="100" w:afterAutospacing="1" w:line="240" w:lineRule="auto"/>
        <w:rPr>
          <w:rFonts w:eastAsia="Times New Roman" w:cstheme="minorHAnsi"/>
          <w:sz w:val="24"/>
          <w:szCs w:val="24"/>
          <w:lang w:val="en-US" w:eastAsia="en-US"/>
        </w:rPr>
      </w:pPr>
      <w:r w:rsidRPr="000179FF">
        <w:rPr>
          <w:rFonts w:eastAsia="Times New Roman" w:cstheme="minorHAnsi"/>
          <w:sz w:val="24"/>
          <w:szCs w:val="24"/>
          <w:lang w:val="en-US" w:eastAsia="en-US"/>
        </w:rPr>
        <w:t>Umar, Z., &amp; Rehman, M. (2021). Risk contagion and interdependence between cryptocurrencies and traditional assets: A dynamic analysis. Journal of International Financial Markets, Institutions and Money, 72, 101310.</w:t>
      </w:r>
    </w:p>
    <w:p w14:paraId="0C440A84" w14:textId="77777777" w:rsidR="000179FF" w:rsidRPr="000179FF" w:rsidRDefault="000179FF" w:rsidP="00584544">
      <w:pPr>
        <w:spacing w:before="100" w:beforeAutospacing="1" w:after="100" w:afterAutospacing="1" w:line="240" w:lineRule="auto"/>
        <w:rPr>
          <w:rFonts w:eastAsia="Times New Roman" w:cstheme="minorHAnsi"/>
          <w:sz w:val="24"/>
          <w:szCs w:val="24"/>
          <w:lang w:val="en-US" w:eastAsia="en-US"/>
        </w:rPr>
      </w:pPr>
      <w:r w:rsidRPr="000179FF">
        <w:rPr>
          <w:rFonts w:eastAsia="Times New Roman" w:cstheme="minorHAnsi"/>
          <w:sz w:val="24"/>
          <w:szCs w:val="24"/>
          <w:lang w:val="en-US" w:eastAsia="en-US"/>
        </w:rPr>
        <w:t>Zhang, X., &amp; Chen, Y. (2020). Energy consumption and environmental sustainability of cryptocurrencies: A critical review. Energy Economics, 86, 104631.</w:t>
      </w:r>
    </w:p>
    <w:p w14:paraId="5504D369" w14:textId="77777777" w:rsidR="003C4AD2" w:rsidRPr="003C4AD2" w:rsidRDefault="003C4AD2" w:rsidP="003C4AD2">
      <w:pPr>
        <w:spacing w:line="276" w:lineRule="auto"/>
        <w:rPr>
          <w:rFonts w:asciiTheme="majorBidi" w:hAnsiTheme="majorBidi" w:cstheme="majorBidi"/>
          <w:sz w:val="24"/>
          <w:szCs w:val="24"/>
        </w:rPr>
      </w:pPr>
    </w:p>
    <w:sectPr w:rsidR="003C4AD2" w:rsidRPr="003C4AD2" w:rsidSect="00F06905">
      <w:headerReference w:type="default" r:id="rId12"/>
      <w:footerReference w:type="default" r:id="rId13"/>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B227D" w14:textId="77777777" w:rsidR="00677BB7" w:rsidRDefault="00677BB7" w:rsidP="00E946C4">
      <w:pPr>
        <w:spacing w:line="240" w:lineRule="auto"/>
      </w:pPr>
      <w:r>
        <w:separator/>
      </w:r>
    </w:p>
  </w:endnote>
  <w:endnote w:type="continuationSeparator" w:id="0">
    <w:p w14:paraId="2021A04F" w14:textId="77777777" w:rsidR="00677BB7" w:rsidRDefault="00677BB7"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F9828" w14:textId="4AC8D2A4" w:rsidR="00717BD3" w:rsidRDefault="00717BD3"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Revue Internationale Multidisciplinaire</w:t>
    </w:r>
  </w:p>
  <w:p w14:paraId="709E2683" w14:textId="38D1BC2E" w:rsidR="00717BD3" w:rsidRPr="006F12F8" w:rsidRDefault="00717BD3"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Pr="006F12F8">
      <w:rPr>
        <w:rFonts w:ascii="Book Antiqua" w:hAnsi="Book Antiqua"/>
        <w:b/>
        <w:bCs/>
        <w:sz w:val="20"/>
        <w:szCs w:val="20"/>
      </w:rPr>
      <w:tab/>
      <w:t xml:space="preserve">             </w:t>
    </w:r>
    <w:r>
      <w:rPr>
        <w:rFonts w:ascii="Book Antiqua" w:hAnsi="Book Antiqua"/>
        <w:b/>
        <w:bCs/>
        <w:sz w:val="20"/>
        <w:szCs w:val="20"/>
      </w:rPr>
      <w:t xml:space="preserve">             </w:t>
    </w:r>
    <w:r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Lienhypertexte"/>
          <w:rFonts w:ascii="Book Antiqua" w:hAnsi="Book Antiqua"/>
          <w:b/>
          <w:bCs/>
          <w:sz w:val="20"/>
          <w:szCs w:val="20"/>
        </w:rPr>
        <w:t>www.rimege.com</w:t>
      </w:r>
    </w:hyperlink>
    <w:r w:rsidRPr="006F12F8">
      <w:rPr>
        <w:rFonts w:ascii="Book Antiqua" w:hAnsi="Book Antiqua"/>
        <w:b/>
        <w:bCs/>
        <w:sz w:val="20"/>
        <w:szCs w:val="20"/>
      </w:rPr>
      <w:t xml:space="preserve"> </w:t>
    </w:r>
    <w:r w:rsidRPr="006F12F8">
      <w:rPr>
        <w:rFonts w:ascii="Book Antiqua" w:hAnsi="Book Antiqua"/>
        <w:b/>
        <w:bCs/>
        <w:sz w:val="20"/>
        <w:szCs w:val="20"/>
      </w:rPr>
      <w:tab/>
    </w:r>
    <w:r w:rsidRPr="006F12F8">
      <w:rPr>
        <w:rFonts w:ascii="Book Antiqua" w:hAnsi="Book Antiqua"/>
        <w:b/>
        <w:bCs/>
        <w:sz w:val="20"/>
        <w:szCs w:val="20"/>
      </w:rPr>
      <w:tab/>
      <w:t xml:space="preserve">Page </w:t>
    </w:r>
    <w:r w:rsidRPr="00B0560A">
      <w:rPr>
        <w:rFonts w:ascii="Book Antiqua" w:hAnsi="Book Antiqua"/>
        <w:b/>
        <w:bCs/>
        <w:sz w:val="20"/>
        <w:szCs w:val="20"/>
      </w:rPr>
      <w:fldChar w:fldCharType="begin"/>
    </w:r>
    <w:r w:rsidRPr="006F12F8">
      <w:rPr>
        <w:rFonts w:ascii="Book Antiqua" w:hAnsi="Book Antiqua"/>
        <w:b/>
        <w:bCs/>
        <w:sz w:val="20"/>
        <w:szCs w:val="20"/>
      </w:rPr>
      <w:instrText xml:space="preserve"> PAGE   \* MERGEFORMAT </w:instrText>
    </w:r>
    <w:r w:rsidRPr="00B0560A">
      <w:rPr>
        <w:rFonts w:ascii="Book Antiqua" w:hAnsi="Book Antiqua"/>
        <w:b/>
        <w:bCs/>
        <w:sz w:val="20"/>
        <w:szCs w:val="20"/>
      </w:rPr>
      <w:fldChar w:fldCharType="separate"/>
    </w:r>
    <w:r w:rsidR="00677BB7" w:rsidRPr="00677BB7">
      <w:rPr>
        <w:rFonts w:ascii="Book Antiqua" w:hAnsi="Book Antiqua"/>
        <w:b/>
        <w:noProof/>
        <w:sz w:val="20"/>
        <w:szCs w:val="20"/>
      </w:rPr>
      <w:t>1</w:t>
    </w:r>
    <w:r w:rsidRPr="00B0560A">
      <w:rPr>
        <w:rFonts w:ascii="Book Antiqua" w:hAnsi="Book Antiqua"/>
        <w:b/>
        <w:bCs/>
        <w:sz w:val="20"/>
        <w:szCs w:val="20"/>
      </w:rPr>
      <w:fldChar w:fldCharType="end"/>
    </w:r>
  </w:p>
  <w:p w14:paraId="7E3860A7" w14:textId="77777777" w:rsidR="00717BD3" w:rsidRPr="006F12F8" w:rsidRDefault="00717BD3" w:rsidP="00F06905">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9F486" w14:textId="77777777" w:rsidR="00677BB7" w:rsidRDefault="00677BB7" w:rsidP="00E946C4">
      <w:pPr>
        <w:spacing w:line="240" w:lineRule="auto"/>
      </w:pPr>
      <w:r>
        <w:separator/>
      </w:r>
    </w:p>
  </w:footnote>
  <w:footnote w:type="continuationSeparator" w:id="0">
    <w:p w14:paraId="277E12A3" w14:textId="77777777" w:rsidR="00677BB7" w:rsidRDefault="00677BB7" w:rsidP="00E9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5AC92" w14:textId="12962213" w:rsidR="00717BD3" w:rsidRDefault="00717BD3" w:rsidP="008176FC">
    <w:pPr>
      <w:tabs>
        <w:tab w:val="right" w:pos="9072"/>
      </w:tabs>
      <w:spacing w:line="276" w:lineRule="auto"/>
      <w:rPr>
        <w:rFonts w:ascii="Book Antiqua" w:hAnsi="Book Antiqua"/>
        <w:b/>
        <w:sz w:val="20"/>
      </w:rPr>
    </w:pPr>
    <w:r w:rsidRPr="008176FC">
      <w:rPr>
        <w:rFonts w:ascii="Book Antiqua" w:hAnsi="Book Antiqua"/>
        <w:b/>
        <w:noProof/>
        <w:sz w:val="20"/>
        <w:lang w:val="en-US" w:eastAsia="en-US"/>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Pr>
        <w:rFonts w:ascii="Book Antiqua" w:hAnsi="Book Antiqua"/>
        <w:b/>
        <w:sz w:val="20"/>
      </w:rPr>
      <w:t>Revue Internationale Multidisciplinaire</w:t>
    </w:r>
  </w:p>
  <w:p w14:paraId="65A25F45" w14:textId="21D67807" w:rsidR="00717BD3" w:rsidRDefault="00717BD3"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6E2469B1" w14:textId="77777777" w:rsidR="00717BD3" w:rsidRPr="00811527" w:rsidRDefault="00717BD3" w:rsidP="00C82E96">
    <w:pPr>
      <w:tabs>
        <w:tab w:val="left" w:pos="5580"/>
        <w:tab w:val="left" w:pos="6075"/>
      </w:tabs>
      <w:spacing w:line="276" w:lineRule="auto"/>
      <w:jc w:val="left"/>
      <w:rPr>
        <w:rFonts w:ascii="Book Antiqua" w:hAnsi="Book Antiqua"/>
        <w:sz w:val="20"/>
      </w:rPr>
    </w:pPr>
    <w:r>
      <w:rPr>
        <w:rFonts w:ascii="Book Antiqua" w:hAnsi="Book Antiqua"/>
        <w:sz w:val="20"/>
      </w:rPr>
      <w:t>ISSN :</w:t>
    </w:r>
    <w:r w:rsidRPr="00AC56EF">
      <w:t xml:space="preserve"> </w:t>
    </w:r>
    <w:r w:rsidRPr="00E42047">
      <w:t>2724-7260</w:t>
    </w:r>
  </w:p>
  <w:p w14:paraId="7AAB78FF" w14:textId="05F7A67D" w:rsidR="00717BD3" w:rsidRPr="002D6CAA" w:rsidRDefault="00717BD3" w:rsidP="00C82E96">
    <w:pPr>
      <w:tabs>
        <w:tab w:val="right" w:pos="9072"/>
      </w:tabs>
      <w:spacing w:line="276" w:lineRule="auto"/>
    </w:pPr>
    <w:r>
      <w:rPr>
        <w:rFonts w:ascii="Book Antiqua" w:hAnsi="Book Antiqua"/>
        <w:sz w:val="20"/>
      </w:rPr>
      <w:t>Volume 3 : Numéro 1</w:t>
    </w:r>
    <w:r w:rsidRPr="00811527">
      <w:tab/>
    </w:r>
  </w:p>
  <w:p w14:paraId="1F4DD5CF" w14:textId="389A6A8E" w:rsidR="00717BD3" w:rsidRPr="009A2F58" w:rsidRDefault="00717BD3" w:rsidP="00F06905">
    <w:pPr>
      <w:pStyle w:val="En-tte"/>
      <w:spacing w:line="276" w:lineRule="auto"/>
      <w:ind w:left="-993"/>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61F3"/>
    <w:multiLevelType w:val="multilevel"/>
    <w:tmpl w:val="C86665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F2710"/>
    <w:multiLevelType w:val="multilevel"/>
    <w:tmpl w:val="80245D4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851E76"/>
    <w:multiLevelType w:val="hybridMultilevel"/>
    <w:tmpl w:val="0054167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FBF433A"/>
    <w:multiLevelType w:val="hybridMultilevel"/>
    <w:tmpl w:val="847E3DE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9661F24"/>
    <w:multiLevelType w:val="hybridMultilevel"/>
    <w:tmpl w:val="C13E123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D487A7A"/>
    <w:multiLevelType w:val="multilevel"/>
    <w:tmpl w:val="FB6C2A8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1DFC0307"/>
    <w:multiLevelType w:val="hybridMultilevel"/>
    <w:tmpl w:val="491E9140"/>
    <w:lvl w:ilvl="0" w:tplc="70606DD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E7D5ADB"/>
    <w:multiLevelType w:val="multilevel"/>
    <w:tmpl w:val="952080F2"/>
    <w:lvl w:ilvl="0">
      <w:start w:val="1"/>
      <w:numFmt w:val="decimal"/>
      <w:lvlText w:val="%1."/>
      <w:lvlJc w:val="left"/>
      <w:pPr>
        <w:ind w:left="360" w:hanging="360"/>
      </w:pPr>
      <w:rPr>
        <w:rFonts w:hint="default"/>
        <w:b w:val="0"/>
        <w:bCs w:val="0"/>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333A8D"/>
    <w:multiLevelType w:val="hybridMultilevel"/>
    <w:tmpl w:val="519C53B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5A708C8"/>
    <w:multiLevelType w:val="hybridMultilevel"/>
    <w:tmpl w:val="EA7C50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660054"/>
    <w:multiLevelType w:val="hybridMultilevel"/>
    <w:tmpl w:val="7702F5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11507"/>
    <w:multiLevelType w:val="multilevel"/>
    <w:tmpl w:val="C48EE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082442C"/>
    <w:multiLevelType w:val="hybridMultilevel"/>
    <w:tmpl w:val="7C1849C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9" w15:restartNumberingAfterBreak="0">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20C39E0"/>
    <w:multiLevelType w:val="hybridMultilevel"/>
    <w:tmpl w:val="B83C8C4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24E0DA5"/>
    <w:multiLevelType w:val="multilevel"/>
    <w:tmpl w:val="15245A2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7"/>
  </w:num>
  <w:num w:numId="2">
    <w:abstractNumId w:val="20"/>
  </w:num>
  <w:num w:numId="3">
    <w:abstractNumId w:val="16"/>
  </w:num>
  <w:num w:numId="4">
    <w:abstractNumId w:val="21"/>
  </w:num>
  <w:num w:numId="5">
    <w:abstractNumId w:val="10"/>
  </w:num>
  <w:num w:numId="6">
    <w:abstractNumId w:val="7"/>
  </w:num>
  <w:num w:numId="7">
    <w:abstractNumId w:val="5"/>
  </w:num>
  <w:num w:numId="8">
    <w:abstractNumId w:val="26"/>
  </w:num>
  <w:num w:numId="9">
    <w:abstractNumId w:val="12"/>
  </w:num>
  <w:num w:numId="10">
    <w:abstractNumId w:val="1"/>
  </w:num>
  <w:num w:numId="11">
    <w:abstractNumId w:val="25"/>
  </w:num>
  <w:num w:numId="12">
    <w:abstractNumId w:val="24"/>
  </w:num>
  <w:num w:numId="13">
    <w:abstractNumId w:val="19"/>
  </w:num>
  <w:num w:numId="14">
    <w:abstractNumId w:val="18"/>
  </w:num>
  <w:num w:numId="15">
    <w:abstractNumId w:val="9"/>
  </w:num>
  <w:num w:numId="16">
    <w:abstractNumId w:val="4"/>
  </w:num>
  <w:num w:numId="17">
    <w:abstractNumId w:val="8"/>
  </w:num>
  <w:num w:numId="18">
    <w:abstractNumId w:val="3"/>
  </w:num>
  <w:num w:numId="19">
    <w:abstractNumId w:val="11"/>
  </w:num>
  <w:num w:numId="20">
    <w:abstractNumId w:val="22"/>
  </w:num>
  <w:num w:numId="21">
    <w:abstractNumId w:val="15"/>
  </w:num>
  <w:num w:numId="22">
    <w:abstractNumId w:val="17"/>
  </w:num>
  <w:num w:numId="23">
    <w:abstractNumId w:val="6"/>
  </w:num>
  <w:num w:numId="24">
    <w:abstractNumId w:val="14"/>
  </w:num>
  <w:num w:numId="25">
    <w:abstractNumId w:val="2"/>
  </w:num>
  <w:num w:numId="26">
    <w:abstractNumId w:val="13"/>
  </w:num>
  <w:num w:numId="27">
    <w:abstractNumId w:val="0"/>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346"/>
    <w:rsid w:val="00000443"/>
    <w:rsid w:val="00001428"/>
    <w:rsid w:val="00001CB8"/>
    <w:rsid w:val="000032D8"/>
    <w:rsid w:val="00003578"/>
    <w:rsid w:val="000057A3"/>
    <w:rsid w:val="00006432"/>
    <w:rsid w:val="00007532"/>
    <w:rsid w:val="000179FF"/>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E3E34"/>
    <w:rsid w:val="000F3A66"/>
    <w:rsid w:val="000F41AF"/>
    <w:rsid w:val="001010A4"/>
    <w:rsid w:val="001047AC"/>
    <w:rsid w:val="00106590"/>
    <w:rsid w:val="001102C4"/>
    <w:rsid w:val="00111EC1"/>
    <w:rsid w:val="001213B3"/>
    <w:rsid w:val="00123161"/>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3BD0"/>
    <w:rsid w:val="001B5061"/>
    <w:rsid w:val="001C1B41"/>
    <w:rsid w:val="001C523E"/>
    <w:rsid w:val="001C7171"/>
    <w:rsid w:val="001D12ED"/>
    <w:rsid w:val="001D53E2"/>
    <w:rsid w:val="001D6B3F"/>
    <w:rsid w:val="001E1338"/>
    <w:rsid w:val="001E2004"/>
    <w:rsid w:val="001E2BB2"/>
    <w:rsid w:val="001F19F3"/>
    <w:rsid w:val="002079BD"/>
    <w:rsid w:val="00207F8A"/>
    <w:rsid w:val="0021024C"/>
    <w:rsid w:val="00213B40"/>
    <w:rsid w:val="00213BEE"/>
    <w:rsid w:val="002140DD"/>
    <w:rsid w:val="002213F2"/>
    <w:rsid w:val="00221F5B"/>
    <w:rsid w:val="00230C2C"/>
    <w:rsid w:val="00236204"/>
    <w:rsid w:val="002423DB"/>
    <w:rsid w:val="00242DC0"/>
    <w:rsid w:val="002462E3"/>
    <w:rsid w:val="00246D16"/>
    <w:rsid w:val="00254AF3"/>
    <w:rsid w:val="00256351"/>
    <w:rsid w:val="002634F0"/>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D3320"/>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53C79"/>
    <w:rsid w:val="003601EC"/>
    <w:rsid w:val="00365C87"/>
    <w:rsid w:val="0036761F"/>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4AD2"/>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26E2F"/>
    <w:rsid w:val="00442A25"/>
    <w:rsid w:val="0044488A"/>
    <w:rsid w:val="00444C7C"/>
    <w:rsid w:val="004556D6"/>
    <w:rsid w:val="00455C17"/>
    <w:rsid w:val="00460855"/>
    <w:rsid w:val="00463F94"/>
    <w:rsid w:val="00464DA9"/>
    <w:rsid w:val="00471D32"/>
    <w:rsid w:val="00473152"/>
    <w:rsid w:val="004819C0"/>
    <w:rsid w:val="00491140"/>
    <w:rsid w:val="00495DC0"/>
    <w:rsid w:val="004A1555"/>
    <w:rsid w:val="004A36AD"/>
    <w:rsid w:val="004A4939"/>
    <w:rsid w:val="004A525B"/>
    <w:rsid w:val="004B0096"/>
    <w:rsid w:val="004B10BA"/>
    <w:rsid w:val="004B1936"/>
    <w:rsid w:val="004B1981"/>
    <w:rsid w:val="004B30BB"/>
    <w:rsid w:val="004B56C0"/>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1D9"/>
    <w:rsid w:val="00545547"/>
    <w:rsid w:val="005455FF"/>
    <w:rsid w:val="00545738"/>
    <w:rsid w:val="00547346"/>
    <w:rsid w:val="00551643"/>
    <w:rsid w:val="005539E4"/>
    <w:rsid w:val="00554417"/>
    <w:rsid w:val="00555889"/>
    <w:rsid w:val="0055752A"/>
    <w:rsid w:val="00564DAA"/>
    <w:rsid w:val="00565FF3"/>
    <w:rsid w:val="00567285"/>
    <w:rsid w:val="00574B41"/>
    <w:rsid w:val="005763A5"/>
    <w:rsid w:val="005768E2"/>
    <w:rsid w:val="005770E4"/>
    <w:rsid w:val="005805AB"/>
    <w:rsid w:val="00581744"/>
    <w:rsid w:val="00581F73"/>
    <w:rsid w:val="00584544"/>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0289"/>
    <w:rsid w:val="00662CD1"/>
    <w:rsid w:val="00670731"/>
    <w:rsid w:val="00671A40"/>
    <w:rsid w:val="006775F3"/>
    <w:rsid w:val="0067783E"/>
    <w:rsid w:val="00677BB7"/>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12777"/>
    <w:rsid w:val="00712D56"/>
    <w:rsid w:val="00716C7D"/>
    <w:rsid w:val="00717BD3"/>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905"/>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46ACE"/>
    <w:rsid w:val="00852B57"/>
    <w:rsid w:val="0086204F"/>
    <w:rsid w:val="00862634"/>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1EAE"/>
    <w:rsid w:val="00902ACF"/>
    <w:rsid w:val="00903CCE"/>
    <w:rsid w:val="009062CB"/>
    <w:rsid w:val="00907F28"/>
    <w:rsid w:val="00913193"/>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565"/>
    <w:rsid w:val="00940F19"/>
    <w:rsid w:val="009410FB"/>
    <w:rsid w:val="00947E53"/>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09AA"/>
    <w:rsid w:val="00AD3342"/>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2E96"/>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AFB"/>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35590"/>
    <w:rsid w:val="00D40936"/>
    <w:rsid w:val="00D43C76"/>
    <w:rsid w:val="00D60163"/>
    <w:rsid w:val="00D63193"/>
    <w:rsid w:val="00D65A64"/>
    <w:rsid w:val="00D83090"/>
    <w:rsid w:val="00D8429C"/>
    <w:rsid w:val="00D84C7A"/>
    <w:rsid w:val="00D85C3F"/>
    <w:rsid w:val="00D93720"/>
    <w:rsid w:val="00D93C0B"/>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60E9"/>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39B9"/>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0521"/>
    <w:rsid w:val="00ED32BC"/>
    <w:rsid w:val="00ED4204"/>
    <w:rsid w:val="00ED74C1"/>
    <w:rsid w:val="00EE4225"/>
    <w:rsid w:val="00EF2EA9"/>
    <w:rsid w:val="00EF54D4"/>
    <w:rsid w:val="00EF5B08"/>
    <w:rsid w:val="00EF61C0"/>
    <w:rsid w:val="00EF7077"/>
    <w:rsid w:val="00F00A7B"/>
    <w:rsid w:val="00F01200"/>
    <w:rsid w:val="00F06905"/>
    <w:rsid w:val="00F10D2B"/>
    <w:rsid w:val="00F116F9"/>
    <w:rsid w:val="00F117B6"/>
    <w:rsid w:val="00F12465"/>
    <w:rsid w:val="00F15CED"/>
    <w:rsid w:val="00F17281"/>
    <w:rsid w:val="00F207FE"/>
    <w:rsid w:val="00F21013"/>
    <w:rsid w:val="00F26586"/>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3FBE"/>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 w:val="00FF6A9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3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34"/>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customStyle="1" w:styleId="UnresolvedMention">
    <w:name w:val="Unresolved Mention"/>
    <w:basedOn w:val="Policepardfaut"/>
    <w:uiPriority w:val="99"/>
    <w:semiHidden/>
    <w:unhideWhenUsed/>
    <w:rsid w:val="004A525B"/>
    <w:rPr>
      <w:color w:val="605E5C"/>
      <w:shd w:val="clear" w:color="auto" w:fill="E1DFDD"/>
    </w:rPr>
  </w:style>
  <w:style w:type="table" w:customStyle="1" w:styleId="Grilledutableau1">
    <w:name w:val="Grille du tableau1"/>
    <w:basedOn w:val="TableauNormal"/>
    <w:next w:val="Grilledutableau"/>
    <w:uiPriority w:val="39"/>
    <w:rsid w:val="001B3BD0"/>
    <w:pPr>
      <w:spacing w:line="240" w:lineRule="auto"/>
      <w:jc w:val="left"/>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3320"/>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table" w:styleId="TableauGrille1Clair">
    <w:name w:val="Grid Table 1 Light"/>
    <w:basedOn w:val="TableauNormal"/>
    <w:uiPriority w:val="46"/>
    <w:rsid w:val="002D3320"/>
    <w:pPr>
      <w:spacing w:line="240" w:lineRule="auto"/>
      <w:jc w:val="left"/>
    </w:pPr>
    <w:rPr>
      <w:rFonts w:eastAsiaTheme="minorHAnsi"/>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5201">
      <w:bodyDiv w:val="1"/>
      <w:marLeft w:val="0"/>
      <w:marRight w:val="0"/>
      <w:marTop w:val="0"/>
      <w:marBottom w:val="0"/>
      <w:divBdr>
        <w:top w:val="none" w:sz="0" w:space="0" w:color="auto"/>
        <w:left w:val="none" w:sz="0" w:space="0" w:color="auto"/>
        <w:bottom w:val="none" w:sz="0" w:space="0" w:color="auto"/>
        <w:right w:val="none" w:sz="0" w:space="0" w:color="auto"/>
      </w:divBdr>
    </w:div>
    <w:div w:id="621572922">
      <w:bodyDiv w:val="1"/>
      <w:marLeft w:val="0"/>
      <w:marRight w:val="0"/>
      <w:marTop w:val="0"/>
      <w:marBottom w:val="0"/>
      <w:divBdr>
        <w:top w:val="none" w:sz="0" w:space="0" w:color="auto"/>
        <w:left w:val="none" w:sz="0" w:space="0" w:color="auto"/>
        <w:bottom w:val="none" w:sz="0" w:space="0" w:color="auto"/>
        <w:right w:val="none" w:sz="0" w:space="0" w:color="auto"/>
      </w:divBdr>
    </w:div>
    <w:div w:id="715273586">
      <w:bodyDiv w:val="1"/>
      <w:marLeft w:val="0"/>
      <w:marRight w:val="0"/>
      <w:marTop w:val="0"/>
      <w:marBottom w:val="0"/>
      <w:divBdr>
        <w:top w:val="none" w:sz="0" w:space="0" w:color="auto"/>
        <w:left w:val="none" w:sz="0" w:space="0" w:color="auto"/>
        <w:bottom w:val="none" w:sz="0" w:space="0" w:color="auto"/>
        <w:right w:val="none" w:sz="0" w:space="0" w:color="auto"/>
      </w:divBdr>
    </w:div>
    <w:div w:id="870462711">
      <w:bodyDiv w:val="1"/>
      <w:marLeft w:val="0"/>
      <w:marRight w:val="0"/>
      <w:marTop w:val="0"/>
      <w:marBottom w:val="0"/>
      <w:divBdr>
        <w:top w:val="none" w:sz="0" w:space="0" w:color="auto"/>
        <w:left w:val="none" w:sz="0" w:space="0" w:color="auto"/>
        <w:bottom w:val="none" w:sz="0" w:space="0" w:color="auto"/>
        <w:right w:val="none" w:sz="0" w:space="0" w:color="auto"/>
      </w:divBdr>
    </w:div>
    <w:div w:id="1253589545">
      <w:bodyDiv w:val="1"/>
      <w:marLeft w:val="0"/>
      <w:marRight w:val="0"/>
      <w:marTop w:val="0"/>
      <w:marBottom w:val="0"/>
      <w:divBdr>
        <w:top w:val="none" w:sz="0" w:space="0" w:color="auto"/>
        <w:left w:val="none" w:sz="0" w:space="0" w:color="auto"/>
        <w:bottom w:val="none" w:sz="0" w:space="0" w:color="auto"/>
        <w:right w:val="none" w:sz="0" w:space="0" w:color="auto"/>
      </w:divBdr>
    </w:div>
    <w:div w:id="1327323032">
      <w:bodyDiv w:val="1"/>
      <w:marLeft w:val="0"/>
      <w:marRight w:val="0"/>
      <w:marTop w:val="0"/>
      <w:marBottom w:val="0"/>
      <w:divBdr>
        <w:top w:val="none" w:sz="0" w:space="0" w:color="auto"/>
        <w:left w:val="none" w:sz="0" w:space="0" w:color="auto"/>
        <w:bottom w:val="none" w:sz="0" w:space="0" w:color="auto"/>
        <w:right w:val="none" w:sz="0" w:space="0" w:color="auto"/>
      </w:divBdr>
    </w:div>
    <w:div w:id="1543596947">
      <w:bodyDiv w:val="1"/>
      <w:marLeft w:val="0"/>
      <w:marRight w:val="0"/>
      <w:marTop w:val="0"/>
      <w:marBottom w:val="0"/>
      <w:divBdr>
        <w:top w:val="none" w:sz="0" w:space="0" w:color="auto"/>
        <w:left w:val="none" w:sz="0" w:space="0" w:color="auto"/>
        <w:bottom w:val="none" w:sz="0" w:space="0" w:color="auto"/>
        <w:right w:val="none" w:sz="0" w:space="0" w:color="auto"/>
      </w:divBdr>
    </w:div>
    <w:div w:id="1554778780">
      <w:bodyDiv w:val="1"/>
      <w:marLeft w:val="0"/>
      <w:marRight w:val="0"/>
      <w:marTop w:val="0"/>
      <w:marBottom w:val="0"/>
      <w:divBdr>
        <w:top w:val="none" w:sz="0" w:space="0" w:color="auto"/>
        <w:left w:val="none" w:sz="0" w:space="0" w:color="auto"/>
        <w:bottom w:val="none" w:sz="0" w:space="0" w:color="auto"/>
        <w:right w:val="none" w:sz="0" w:space="0" w:color="auto"/>
      </w:divBdr>
    </w:div>
    <w:div w:id="1721904317">
      <w:bodyDiv w:val="1"/>
      <w:marLeft w:val="0"/>
      <w:marRight w:val="0"/>
      <w:marTop w:val="0"/>
      <w:marBottom w:val="0"/>
      <w:divBdr>
        <w:top w:val="none" w:sz="0" w:space="0" w:color="auto"/>
        <w:left w:val="none" w:sz="0" w:space="0" w:color="auto"/>
        <w:bottom w:val="none" w:sz="0" w:space="0" w:color="auto"/>
        <w:right w:val="none" w:sz="0" w:space="0" w:color="auto"/>
      </w:divBdr>
    </w:div>
    <w:div w:id="1864781062">
      <w:bodyDiv w:val="1"/>
      <w:marLeft w:val="0"/>
      <w:marRight w:val="0"/>
      <w:marTop w:val="0"/>
      <w:marBottom w:val="0"/>
      <w:divBdr>
        <w:top w:val="none" w:sz="0" w:space="0" w:color="auto"/>
        <w:left w:val="none" w:sz="0" w:space="0" w:color="auto"/>
        <w:bottom w:val="none" w:sz="0" w:space="0" w:color="auto"/>
        <w:right w:val="none" w:sz="0" w:space="0" w:color="auto"/>
      </w:divBdr>
    </w:div>
    <w:div w:id="2048677624">
      <w:bodyDiv w:val="1"/>
      <w:marLeft w:val="0"/>
      <w:marRight w:val="0"/>
      <w:marTop w:val="0"/>
      <w:marBottom w:val="0"/>
      <w:divBdr>
        <w:top w:val="none" w:sz="0" w:space="0" w:color="auto"/>
        <w:left w:val="none" w:sz="0" w:space="0" w:color="auto"/>
        <w:bottom w:val="none" w:sz="0" w:space="0" w:color="auto"/>
        <w:right w:val="none" w:sz="0" w:space="0" w:color="auto"/>
      </w:divBdr>
    </w:div>
    <w:div w:id="21255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ancialresearch.gov/financial-stress-inde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3A3EC-768C-46E4-95E4-EF0A96623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5097</Words>
  <Characters>29057</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34086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spkr</cp:lastModifiedBy>
  <cp:revision>2</cp:revision>
  <cp:lastPrinted>2018-02-14T02:59:00Z</cp:lastPrinted>
  <dcterms:created xsi:type="dcterms:W3CDTF">2024-11-07T20:21:00Z</dcterms:created>
  <dcterms:modified xsi:type="dcterms:W3CDTF">2024-11-07T20:21:00Z</dcterms:modified>
</cp:coreProperties>
</file>